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20B6E" w14:textId="41F0189E" w:rsidR="00CE56F5" w:rsidRPr="004D60AC" w:rsidRDefault="00CE56F5" w:rsidP="00482032">
      <w:pPr>
        <w:widowControl/>
        <w:rPr>
          <w:rFonts w:cs="Arial"/>
          <w:szCs w:val="22"/>
        </w:rPr>
      </w:pPr>
      <w:r w:rsidRPr="004D60AC">
        <w:rPr>
          <w:rFonts w:cs="Arial"/>
          <w:noProof/>
          <w:szCs w:val="22"/>
          <w:lang w:val="en-GB" w:eastAsia="en-GB" w:bidi="ar-SA"/>
        </w:rPr>
        <w:drawing>
          <wp:inline distT="0" distB="0" distL="0" distR="0" wp14:anchorId="60E76570" wp14:editId="32ED458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AFD43F1" w14:textId="77777777" w:rsidR="00CE56F5" w:rsidRPr="004D60AC" w:rsidRDefault="00CE56F5" w:rsidP="00482032">
      <w:pPr>
        <w:widowControl/>
        <w:rPr>
          <w:rFonts w:cs="Arial"/>
          <w:szCs w:val="22"/>
        </w:rPr>
      </w:pPr>
    </w:p>
    <w:p w14:paraId="2867696F" w14:textId="60C43A5E" w:rsidR="00CE56F5" w:rsidRPr="009319F9" w:rsidRDefault="009319F9" w:rsidP="00482032">
      <w:pPr>
        <w:widowControl/>
        <w:rPr>
          <w:rFonts w:cs="Arial"/>
          <w:b/>
          <w:sz w:val="28"/>
          <w:szCs w:val="22"/>
        </w:rPr>
      </w:pPr>
      <w:bookmarkStart w:id="0" w:name="_GoBack"/>
      <w:bookmarkEnd w:id="0"/>
      <w:r w:rsidRPr="009319F9">
        <w:rPr>
          <w:rFonts w:cs="Arial"/>
          <w:b/>
          <w:sz w:val="28"/>
          <w:szCs w:val="22"/>
        </w:rPr>
        <w:t>21 May 2021</w:t>
      </w:r>
    </w:p>
    <w:p w14:paraId="63001099" w14:textId="36604C75" w:rsidR="009319F9" w:rsidRPr="009319F9" w:rsidRDefault="009319F9" w:rsidP="00482032">
      <w:pPr>
        <w:widowControl/>
        <w:rPr>
          <w:rFonts w:cs="Arial"/>
          <w:b/>
          <w:sz w:val="28"/>
          <w:szCs w:val="22"/>
        </w:rPr>
      </w:pPr>
      <w:r w:rsidRPr="009319F9">
        <w:rPr>
          <w:rFonts w:cs="Arial"/>
          <w:b/>
          <w:sz w:val="28"/>
          <w:szCs w:val="22"/>
        </w:rPr>
        <w:t>156-21</w:t>
      </w:r>
    </w:p>
    <w:p w14:paraId="22448DFC" w14:textId="77777777" w:rsidR="00CE56F5" w:rsidRPr="00360A9B" w:rsidRDefault="00CE56F5" w:rsidP="00482032">
      <w:pPr>
        <w:widowControl/>
        <w:rPr>
          <w:rFonts w:cs="Arial"/>
          <w:sz w:val="28"/>
          <w:szCs w:val="22"/>
        </w:rPr>
      </w:pPr>
    </w:p>
    <w:p w14:paraId="3B07BB0A" w14:textId="630375D4" w:rsidR="00CE56F5" w:rsidRPr="00360A9B" w:rsidRDefault="00CE56F5" w:rsidP="00AC0409">
      <w:pPr>
        <w:pStyle w:val="FSTitle"/>
        <w:widowControl/>
        <w:spacing w:after="240"/>
        <w:rPr>
          <w:rFonts w:cs="Arial"/>
          <w:b/>
          <w:szCs w:val="22"/>
        </w:rPr>
      </w:pPr>
      <w:r w:rsidRPr="00360A9B">
        <w:rPr>
          <w:rFonts w:cs="Arial"/>
          <w:b/>
          <w:szCs w:val="22"/>
        </w:rPr>
        <w:t xml:space="preserve">Call for </w:t>
      </w:r>
      <w:r w:rsidR="00AC0409">
        <w:rPr>
          <w:rFonts w:cs="Arial"/>
          <w:b/>
          <w:szCs w:val="22"/>
        </w:rPr>
        <w:t>Submissions</w:t>
      </w:r>
    </w:p>
    <w:p w14:paraId="20BAFD84" w14:textId="5B1FA084" w:rsidR="00CE56F5" w:rsidRPr="00360A9B" w:rsidRDefault="00AC0409" w:rsidP="00482032">
      <w:pPr>
        <w:widowControl/>
        <w:pBdr>
          <w:bottom w:val="single" w:sz="12" w:space="1" w:color="auto"/>
        </w:pBdr>
        <w:spacing w:after="240" w:line="280" w:lineRule="exact"/>
        <w:rPr>
          <w:rFonts w:cs="Arial"/>
          <w:bCs/>
          <w:sz w:val="32"/>
          <w:szCs w:val="22"/>
        </w:rPr>
      </w:pPr>
      <w:r>
        <w:rPr>
          <w:rFonts w:cs="Arial"/>
          <w:bCs/>
          <w:sz w:val="32"/>
          <w:szCs w:val="22"/>
        </w:rPr>
        <w:t xml:space="preserve">A1178 – </w:t>
      </w:r>
      <w:r w:rsidR="00CE56F5" w:rsidRPr="00360A9B">
        <w:rPr>
          <w:rFonts w:cs="Arial"/>
          <w:bCs/>
          <w:sz w:val="32"/>
          <w:szCs w:val="22"/>
        </w:rPr>
        <w:t>AOAC 2017.16 as a new method of analysis for total dietary fibre</w:t>
      </w:r>
    </w:p>
    <w:p w14:paraId="409C6986" w14:textId="7872C2CC" w:rsidR="00CE56F5" w:rsidRPr="004D60AC" w:rsidRDefault="00D55715" w:rsidP="00482032">
      <w:pPr>
        <w:widowControl/>
        <w:rPr>
          <w:rFonts w:cs="Arial"/>
          <w:szCs w:val="22"/>
        </w:rPr>
      </w:pPr>
      <w:r>
        <w:rPr>
          <w:rFonts w:cs="Arial"/>
          <w:szCs w:val="22"/>
        </w:rPr>
        <w:t>Food Standards Australia New Zealand (</w:t>
      </w:r>
      <w:r w:rsidR="00CE56F5" w:rsidRPr="004D60AC">
        <w:rPr>
          <w:rFonts w:cs="Arial"/>
          <w:szCs w:val="22"/>
        </w:rPr>
        <w:t>FSANZ</w:t>
      </w:r>
      <w:r>
        <w:rPr>
          <w:rFonts w:cs="Arial"/>
          <w:szCs w:val="22"/>
        </w:rPr>
        <w:t>)</w:t>
      </w:r>
      <w:r w:rsidR="00CE56F5" w:rsidRPr="004D60AC">
        <w:rPr>
          <w:rFonts w:cs="Arial"/>
          <w:szCs w:val="22"/>
        </w:rPr>
        <w:t xml:space="preserve"> has assessed an </w:t>
      </w:r>
      <w:r w:rsidR="00A44713">
        <w:rPr>
          <w:rFonts w:cs="Arial"/>
          <w:szCs w:val="22"/>
        </w:rPr>
        <w:t>a</w:t>
      </w:r>
      <w:r w:rsidR="00CE56F5" w:rsidRPr="004D60AC">
        <w:rPr>
          <w:rFonts w:cs="Arial"/>
          <w:szCs w:val="22"/>
        </w:rPr>
        <w:t xml:space="preserve">pplication made by </w:t>
      </w:r>
      <w:r w:rsidR="002149FB">
        <w:rPr>
          <w:rFonts w:cs="Arial"/>
          <w:szCs w:val="22"/>
        </w:rPr>
        <w:t xml:space="preserve">the </w:t>
      </w:r>
      <w:r w:rsidR="00CE56F5" w:rsidRPr="004D60AC">
        <w:rPr>
          <w:rFonts w:cs="Arial"/>
          <w:szCs w:val="22"/>
        </w:rPr>
        <w:t xml:space="preserve">Grains and Legumes Nutrition Council of Australia to permit a new voluntary method of analysis for total dietary fibre </w:t>
      </w:r>
      <w:r w:rsidR="002149FB">
        <w:rPr>
          <w:rFonts w:cs="Arial"/>
          <w:szCs w:val="22"/>
        </w:rPr>
        <w:t xml:space="preserve">(AOAC 2017.16) </w:t>
      </w:r>
      <w:r w:rsidR="00CE56F5" w:rsidRPr="004D60AC">
        <w:rPr>
          <w:rFonts w:cs="Arial"/>
          <w:szCs w:val="22"/>
        </w:rPr>
        <w:t xml:space="preserve">and has prepared a draft food regulatory measure. Pursuant to section 31 of the </w:t>
      </w:r>
      <w:r w:rsidR="00CE56F5" w:rsidRPr="004D60AC">
        <w:rPr>
          <w:rFonts w:cs="Arial"/>
          <w:i/>
          <w:szCs w:val="22"/>
        </w:rPr>
        <w:t xml:space="preserve">Food Standards Australia New Zealand Act 1991 </w:t>
      </w:r>
      <w:r w:rsidR="00CE56F5" w:rsidRPr="004D60AC">
        <w:rPr>
          <w:rFonts w:cs="Arial"/>
          <w:szCs w:val="22"/>
        </w:rPr>
        <w:t>(FSANZ Act), FSANZ now calls for submissions to assist consideration of the draft food regulatory measure.</w:t>
      </w:r>
    </w:p>
    <w:p w14:paraId="4B8918D7" w14:textId="77777777" w:rsidR="00CE56F5" w:rsidRPr="004D60AC" w:rsidRDefault="00CE56F5" w:rsidP="00482032">
      <w:pPr>
        <w:widowControl/>
        <w:rPr>
          <w:rFonts w:cs="Arial"/>
          <w:szCs w:val="22"/>
        </w:rPr>
      </w:pPr>
    </w:p>
    <w:p w14:paraId="658ABDCE" w14:textId="77777777" w:rsidR="00CE56F5" w:rsidRPr="004D60AC" w:rsidRDefault="00CE56F5" w:rsidP="00482032">
      <w:pPr>
        <w:widowControl/>
        <w:rPr>
          <w:rFonts w:cs="Arial"/>
          <w:szCs w:val="22"/>
        </w:rPr>
      </w:pPr>
      <w:r w:rsidRPr="004D60AC">
        <w:rPr>
          <w:rFonts w:cs="Arial"/>
          <w:szCs w:val="22"/>
        </w:rPr>
        <w:t xml:space="preserve">For information about making a submission, visit the FSANZ website at </w:t>
      </w:r>
      <w:hyperlink r:id="rId15" w:history="1">
        <w:r w:rsidRPr="004D60AC">
          <w:rPr>
            <w:rStyle w:val="Hyperlink"/>
            <w:rFonts w:cs="Arial"/>
            <w:szCs w:val="22"/>
          </w:rPr>
          <w:t>information for submitters</w:t>
        </w:r>
      </w:hyperlink>
      <w:r w:rsidRPr="004D60AC">
        <w:rPr>
          <w:rFonts w:cs="Arial"/>
          <w:szCs w:val="22"/>
        </w:rPr>
        <w:t>.</w:t>
      </w:r>
    </w:p>
    <w:p w14:paraId="16A06F8A" w14:textId="77777777" w:rsidR="00CE56F5" w:rsidRPr="004D60AC" w:rsidRDefault="00CE56F5" w:rsidP="00482032">
      <w:pPr>
        <w:widowControl/>
        <w:rPr>
          <w:rFonts w:cs="Arial"/>
          <w:szCs w:val="22"/>
        </w:rPr>
      </w:pPr>
    </w:p>
    <w:p w14:paraId="23E3C399" w14:textId="7057BA5E" w:rsidR="00CE56F5" w:rsidRPr="004D60AC" w:rsidRDefault="00CE56F5" w:rsidP="00482032">
      <w:pPr>
        <w:widowControl/>
        <w:ind w:right="-428"/>
        <w:rPr>
          <w:rFonts w:cs="Arial"/>
          <w:szCs w:val="22"/>
        </w:rPr>
      </w:pPr>
      <w:r w:rsidRPr="004D60AC">
        <w:rPr>
          <w:rFonts w:cs="Arial"/>
          <w:szCs w:val="22"/>
        </w:rPr>
        <w:t xml:space="preserve">All submissions on applications and proposals will be published on our website. We will not publish material that we accept as confidential, but will record that such information is held. In-confidence submissions may be subject to release under the provisions of the </w:t>
      </w:r>
      <w:r w:rsidRPr="004D60AC">
        <w:rPr>
          <w:rFonts w:cs="Arial"/>
          <w:i/>
          <w:iCs/>
          <w:szCs w:val="22"/>
        </w:rPr>
        <w:t>Freedom of Information Act 1991</w:t>
      </w:r>
      <w:r w:rsidRPr="004D60AC">
        <w:rPr>
          <w:rFonts w:cs="Arial"/>
          <w:szCs w:val="22"/>
        </w:rPr>
        <w:t>. Submissions will be published as soon as possible after the end of the public comment period. Where large numbers of documents are involved, FSANZ will make these available on CD, rather than on the website.</w:t>
      </w:r>
    </w:p>
    <w:p w14:paraId="73D37C7A" w14:textId="77777777" w:rsidR="00CE56F5" w:rsidRPr="004D60AC" w:rsidRDefault="00CE56F5" w:rsidP="00482032">
      <w:pPr>
        <w:widowControl/>
        <w:rPr>
          <w:rFonts w:cs="Arial"/>
          <w:color w:val="000000"/>
          <w:szCs w:val="22"/>
        </w:rPr>
      </w:pPr>
    </w:p>
    <w:p w14:paraId="135B417E" w14:textId="77777777" w:rsidR="00CE56F5" w:rsidRPr="004D60AC" w:rsidRDefault="00CE56F5" w:rsidP="00482032">
      <w:pPr>
        <w:widowControl/>
        <w:rPr>
          <w:rFonts w:cs="Arial"/>
          <w:color w:val="000000"/>
          <w:szCs w:val="22"/>
        </w:rPr>
      </w:pPr>
      <w:r w:rsidRPr="004D60AC">
        <w:rPr>
          <w:rFonts w:cs="Arial"/>
          <w:color w:val="000000"/>
          <w:szCs w:val="22"/>
        </w:rPr>
        <w:t xml:space="preserve">Under section 114 of the FSANZ Act, some information provided to FSANZ cannot be disclosed. More information about the disclosure of confidential commercial information is available on the FSANZ website at </w:t>
      </w:r>
      <w:hyperlink r:id="rId16" w:history="1">
        <w:r w:rsidRPr="004D60AC">
          <w:rPr>
            <w:rStyle w:val="Hyperlink"/>
            <w:rFonts w:cs="Arial"/>
            <w:szCs w:val="22"/>
          </w:rPr>
          <w:t>information for submitters</w:t>
        </w:r>
      </w:hyperlink>
      <w:r w:rsidRPr="004D60AC">
        <w:rPr>
          <w:rFonts w:cs="Arial"/>
          <w:color w:val="000000"/>
          <w:szCs w:val="22"/>
        </w:rPr>
        <w:t>.</w:t>
      </w:r>
    </w:p>
    <w:p w14:paraId="2EEC4B47" w14:textId="77777777" w:rsidR="00CE56F5" w:rsidRPr="004D60AC" w:rsidRDefault="00CE56F5" w:rsidP="00482032">
      <w:pPr>
        <w:widowControl/>
        <w:rPr>
          <w:rFonts w:cs="Arial"/>
          <w:color w:val="000000"/>
          <w:szCs w:val="22"/>
        </w:rPr>
      </w:pPr>
    </w:p>
    <w:p w14:paraId="3A10A7BA" w14:textId="6A290730" w:rsidR="00CE56F5" w:rsidRPr="004D60AC" w:rsidRDefault="00CE56F5" w:rsidP="00482032">
      <w:pPr>
        <w:widowControl/>
        <w:rPr>
          <w:rFonts w:cs="Arial"/>
          <w:color w:val="000000"/>
          <w:szCs w:val="22"/>
        </w:rPr>
      </w:pPr>
      <w:r w:rsidRPr="004D60AC">
        <w:rPr>
          <w:rFonts w:cs="Arial"/>
          <w:color w:val="000000"/>
          <w:szCs w:val="22"/>
        </w:rPr>
        <w:t>Submissions should be made in writing; be marked clearly with the word ‘Submission’</w:t>
      </w:r>
      <w:r w:rsidR="00D55715">
        <w:rPr>
          <w:rFonts w:cs="Arial"/>
          <w:color w:val="000000"/>
          <w:szCs w:val="22"/>
        </w:rPr>
        <w:t>;</w:t>
      </w:r>
      <w:r w:rsidRPr="004D60AC">
        <w:rPr>
          <w:rFonts w:cs="Arial"/>
          <w:color w:val="000000"/>
          <w:szCs w:val="22"/>
        </w:rPr>
        <w:t xml:space="preserve"> and quote the correct project number and name. While FSANZ accepts submissions in hard copy to our offices, it is more convenient to receive submissions electronically through the FSANZ website via the link on </w:t>
      </w:r>
      <w:hyperlink r:id="rId17" w:history="1">
        <w:r w:rsidRPr="004D60AC">
          <w:rPr>
            <w:rStyle w:val="Hyperlink"/>
            <w:rFonts w:cs="Arial"/>
            <w:szCs w:val="22"/>
          </w:rPr>
          <w:t>documents for public comment</w:t>
        </w:r>
      </w:hyperlink>
      <w:r w:rsidRPr="004D60AC">
        <w:rPr>
          <w:rFonts w:cs="Arial"/>
          <w:color w:val="000000"/>
          <w:szCs w:val="22"/>
        </w:rPr>
        <w:t xml:space="preserve">. You can also email your submission directly to </w:t>
      </w:r>
      <w:hyperlink r:id="rId18" w:history="1">
        <w:r w:rsidRPr="004D60AC">
          <w:rPr>
            <w:rStyle w:val="Hyperlink"/>
            <w:rFonts w:cs="Arial"/>
            <w:szCs w:val="22"/>
          </w:rPr>
          <w:t>submissions@foodstandards.gov.au</w:t>
        </w:r>
      </w:hyperlink>
      <w:r w:rsidRPr="004D60AC">
        <w:rPr>
          <w:rFonts w:cs="Arial"/>
          <w:color w:val="000000"/>
          <w:szCs w:val="22"/>
        </w:rPr>
        <w:t xml:space="preserve">. </w:t>
      </w:r>
    </w:p>
    <w:p w14:paraId="2BFF689B" w14:textId="77777777" w:rsidR="00CE56F5" w:rsidRPr="004D60AC" w:rsidRDefault="00CE56F5" w:rsidP="00482032">
      <w:pPr>
        <w:widowControl/>
        <w:rPr>
          <w:rFonts w:cs="Arial"/>
          <w:color w:val="000000"/>
          <w:szCs w:val="22"/>
        </w:rPr>
      </w:pPr>
    </w:p>
    <w:p w14:paraId="005CDA94" w14:textId="77777777" w:rsidR="00CE56F5" w:rsidRPr="004D60AC" w:rsidRDefault="00CE56F5" w:rsidP="00482032">
      <w:pPr>
        <w:widowControl/>
        <w:rPr>
          <w:rFonts w:cs="Arial"/>
          <w:color w:val="000000"/>
          <w:szCs w:val="22"/>
        </w:rPr>
      </w:pPr>
      <w:r w:rsidRPr="004D60AC">
        <w:rPr>
          <w:rFonts w:cs="Arial"/>
          <w:color w:val="000000"/>
          <w:szCs w:val="22"/>
        </w:rPr>
        <w:t>There is no need to send a hard copy of your submission if you have submitted it by email or via the FSANZ website. FSANZ endeavours to formally acknowledge receipt of submissions within 3 business days.</w:t>
      </w:r>
    </w:p>
    <w:p w14:paraId="053A1232" w14:textId="77777777" w:rsidR="00CE56F5" w:rsidRPr="004D60AC" w:rsidRDefault="00CE56F5" w:rsidP="00482032">
      <w:pPr>
        <w:widowControl/>
        <w:rPr>
          <w:rFonts w:cs="Arial"/>
          <w:color w:val="000000"/>
          <w:szCs w:val="22"/>
        </w:rPr>
      </w:pPr>
    </w:p>
    <w:p w14:paraId="1FD8C502" w14:textId="40F93F6F" w:rsidR="00CE56F5" w:rsidRPr="009319F9" w:rsidRDefault="00CE56F5" w:rsidP="00482032">
      <w:pPr>
        <w:widowControl/>
        <w:tabs>
          <w:tab w:val="left" w:pos="7920"/>
        </w:tabs>
        <w:autoSpaceDE w:val="0"/>
        <w:autoSpaceDN w:val="0"/>
        <w:adjustRightInd w:val="0"/>
        <w:jc w:val="center"/>
        <w:rPr>
          <w:rFonts w:cs="Arial"/>
          <w:b/>
          <w:bCs/>
          <w:szCs w:val="22"/>
        </w:rPr>
      </w:pPr>
      <w:r w:rsidRPr="004D60AC">
        <w:rPr>
          <w:rFonts w:cs="Arial"/>
          <w:b/>
          <w:bCs/>
          <w:color w:val="000000"/>
          <w:szCs w:val="22"/>
        </w:rPr>
        <w:t>DEADLINE FOR SUBMISSIONS</w:t>
      </w:r>
      <w:r w:rsidRPr="004D60AC">
        <w:rPr>
          <w:rFonts w:cs="Arial"/>
          <w:b/>
          <w:color w:val="000000"/>
          <w:szCs w:val="22"/>
        </w:rPr>
        <w:t>:</w:t>
      </w:r>
      <w:r w:rsidRPr="004D60AC">
        <w:rPr>
          <w:rFonts w:cs="Arial"/>
          <w:b/>
          <w:szCs w:val="22"/>
        </w:rPr>
        <w:t xml:space="preserve">  </w:t>
      </w:r>
      <w:r w:rsidRPr="004D60AC">
        <w:rPr>
          <w:rFonts w:cs="Arial"/>
          <w:b/>
          <w:bCs/>
          <w:szCs w:val="22"/>
        </w:rPr>
        <w:t xml:space="preserve">6pm (Canberra </w:t>
      </w:r>
      <w:r w:rsidRPr="009319F9">
        <w:rPr>
          <w:rFonts w:cs="Arial"/>
          <w:b/>
          <w:bCs/>
          <w:szCs w:val="22"/>
        </w:rPr>
        <w:t xml:space="preserve">time) </w:t>
      </w:r>
      <w:r w:rsidR="009319F9" w:rsidRPr="009319F9">
        <w:rPr>
          <w:rFonts w:cs="Arial"/>
          <w:b/>
          <w:bCs/>
          <w:szCs w:val="22"/>
        </w:rPr>
        <w:t>22 June 2021</w:t>
      </w:r>
    </w:p>
    <w:p w14:paraId="5A0AB275" w14:textId="77777777" w:rsidR="00CE56F5" w:rsidRPr="004D60AC" w:rsidRDefault="00CE56F5" w:rsidP="00482032">
      <w:pPr>
        <w:widowControl/>
        <w:rPr>
          <w:rFonts w:cs="Arial"/>
          <w:szCs w:val="22"/>
        </w:rPr>
      </w:pPr>
    </w:p>
    <w:p w14:paraId="676D0629" w14:textId="77777777" w:rsidR="00CE56F5" w:rsidRPr="004D60AC" w:rsidRDefault="00CE56F5" w:rsidP="00482032">
      <w:pPr>
        <w:widowControl/>
        <w:rPr>
          <w:rFonts w:cs="Arial"/>
          <w:szCs w:val="22"/>
        </w:rPr>
      </w:pPr>
      <w:r w:rsidRPr="004D60AC">
        <w:rPr>
          <w:rFonts w:cs="Arial"/>
          <w:szCs w:val="22"/>
        </w:rPr>
        <w:t>Submissions received after this date will not be considered unless an extension had been given before the closing date. Extensions will only be granted due to extraordinary circumstances during the submission period. Any agreed extension will be notified on the FSANZ website and will apply to all submitters.</w:t>
      </w:r>
    </w:p>
    <w:p w14:paraId="5C923859" w14:textId="77777777" w:rsidR="00CE56F5" w:rsidRPr="004D60AC" w:rsidRDefault="00CE56F5" w:rsidP="00482032">
      <w:pPr>
        <w:widowControl/>
        <w:rPr>
          <w:rFonts w:cs="Arial"/>
          <w:szCs w:val="22"/>
        </w:rPr>
      </w:pPr>
    </w:p>
    <w:p w14:paraId="708885EC" w14:textId="77777777" w:rsidR="00CE56F5" w:rsidRPr="004D60AC" w:rsidRDefault="00CE56F5" w:rsidP="00482032">
      <w:pPr>
        <w:widowControl/>
        <w:rPr>
          <w:rFonts w:cs="Arial"/>
          <w:bCs/>
          <w:szCs w:val="22"/>
        </w:rPr>
      </w:pPr>
      <w:r w:rsidRPr="004D60AC">
        <w:rPr>
          <w:rFonts w:cs="Arial"/>
          <w:szCs w:val="22"/>
        </w:rPr>
        <w:t xml:space="preserve">Questions about making submissions or the application process can be sent to </w:t>
      </w:r>
      <w:hyperlink r:id="rId19" w:history="1">
        <w:r w:rsidRPr="004D60AC">
          <w:rPr>
            <w:rStyle w:val="Hyperlink"/>
            <w:rFonts w:cs="Arial"/>
            <w:szCs w:val="22"/>
          </w:rPr>
          <w:t>standards.management@foodstandards.gov.au</w:t>
        </w:r>
      </w:hyperlink>
      <w:r w:rsidRPr="004D60AC">
        <w:rPr>
          <w:rFonts w:cs="Arial"/>
          <w:szCs w:val="22"/>
        </w:rPr>
        <w:t xml:space="preserve">. </w:t>
      </w:r>
    </w:p>
    <w:p w14:paraId="40869589" w14:textId="77777777" w:rsidR="00CE56F5" w:rsidRPr="004D60AC" w:rsidRDefault="00CE56F5" w:rsidP="00482032">
      <w:pPr>
        <w:widowControl/>
        <w:rPr>
          <w:rFonts w:cs="Arial"/>
          <w:szCs w:val="22"/>
        </w:rPr>
      </w:pPr>
    </w:p>
    <w:p w14:paraId="06238AB4" w14:textId="77777777" w:rsidR="00CE56F5" w:rsidRPr="004D60AC" w:rsidRDefault="00CE56F5" w:rsidP="00482032">
      <w:pPr>
        <w:widowControl/>
        <w:rPr>
          <w:rFonts w:cs="Arial"/>
          <w:szCs w:val="22"/>
        </w:rPr>
      </w:pPr>
      <w:r w:rsidRPr="004D60AC">
        <w:rPr>
          <w:rFonts w:cs="Arial"/>
          <w:szCs w:val="22"/>
        </w:rPr>
        <w:lastRenderedPageBreak/>
        <w:t>Hard copy submissions may be sent to one of the following addresses:</w:t>
      </w:r>
    </w:p>
    <w:p w14:paraId="1C8CDE61" w14:textId="77777777" w:rsidR="00CE56F5" w:rsidRPr="004D60AC" w:rsidRDefault="00CE56F5" w:rsidP="00482032">
      <w:pPr>
        <w:widowControl/>
        <w:rPr>
          <w:rFonts w:cs="Arial"/>
          <w:szCs w:val="22"/>
        </w:rPr>
      </w:pPr>
    </w:p>
    <w:p w14:paraId="633BF18C" w14:textId="77777777" w:rsidR="00CE56F5" w:rsidRPr="004D60AC" w:rsidRDefault="00CE56F5" w:rsidP="00482032">
      <w:pPr>
        <w:widowControl/>
        <w:tabs>
          <w:tab w:val="left" w:pos="4536"/>
        </w:tabs>
        <w:rPr>
          <w:rFonts w:cs="Arial"/>
          <w:szCs w:val="22"/>
        </w:rPr>
      </w:pPr>
      <w:r w:rsidRPr="004D60AC">
        <w:rPr>
          <w:rFonts w:cs="Arial"/>
          <w:szCs w:val="22"/>
        </w:rPr>
        <w:t>Food Standards Australia New Zealand</w:t>
      </w:r>
      <w:r w:rsidRPr="004D60AC">
        <w:rPr>
          <w:rFonts w:cs="Arial"/>
          <w:szCs w:val="22"/>
        </w:rPr>
        <w:tab/>
      </w:r>
      <w:r w:rsidRPr="004D60AC">
        <w:rPr>
          <w:rFonts w:cs="Arial"/>
          <w:szCs w:val="22"/>
        </w:rPr>
        <w:tab/>
        <w:t>Food Standards Australia New Zealand</w:t>
      </w:r>
    </w:p>
    <w:p w14:paraId="0DAE7E8D" w14:textId="77777777" w:rsidR="00CE56F5" w:rsidRPr="004D60AC" w:rsidRDefault="00CE56F5" w:rsidP="00482032">
      <w:pPr>
        <w:widowControl/>
        <w:tabs>
          <w:tab w:val="left" w:pos="4536"/>
        </w:tabs>
        <w:rPr>
          <w:rFonts w:cs="Arial"/>
          <w:szCs w:val="22"/>
        </w:rPr>
      </w:pPr>
      <w:r w:rsidRPr="004D60AC">
        <w:rPr>
          <w:rFonts w:cs="Arial"/>
          <w:szCs w:val="22"/>
        </w:rPr>
        <w:t>PO Box 5423</w:t>
      </w:r>
      <w:r w:rsidRPr="004D60AC">
        <w:rPr>
          <w:rFonts w:cs="Arial"/>
          <w:szCs w:val="22"/>
        </w:rPr>
        <w:tab/>
      </w:r>
      <w:r w:rsidRPr="004D60AC">
        <w:rPr>
          <w:rFonts w:cs="Arial"/>
          <w:szCs w:val="22"/>
        </w:rPr>
        <w:tab/>
        <w:t>PO Box 10559</w:t>
      </w:r>
    </w:p>
    <w:p w14:paraId="7A398FE8" w14:textId="77777777" w:rsidR="00CE56F5" w:rsidRPr="004D60AC" w:rsidRDefault="00CE56F5" w:rsidP="00482032">
      <w:pPr>
        <w:widowControl/>
        <w:tabs>
          <w:tab w:val="left" w:pos="4536"/>
        </w:tabs>
        <w:rPr>
          <w:rFonts w:cs="Arial"/>
          <w:szCs w:val="22"/>
        </w:rPr>
      </w:pPr>
      <w:r w:rsidRPr="004D60AC">
        <w:rPr>
          <w:rFonts w:cs="Arial"/>
          <w:szCs w:val="22"/>
        </w:rPr>
        <w:t>KINGSTON  ACT  2604</w:t>
      </w:r>
      <w:r w:rsidRPr="004D60AC">
        <w:rPr>
          <w:rFonts w:cs="Arial"/>
          <w:szCs w:val="22"/>
        </w:rPr>
        <w:tab/>
      </w:r>
      <w:r w:rsidRPr="004D60AC">
        <w:rPr>
          <w:rFonts w:cs="Arial"/>
          <w:szCs w:val="22"/>
        </w:rPr>
        <w:tab/>
        <w:t>The Terrace WELLINGTON 6143</w:t>
      </w:r>
    </w:p>
    <w:p w14:paraId="0D52A953" w14:textId="77777777" w:rsidR="00CE56F5" w:rsidRPr="004D60AC" w:rsidRDefault="00CE56F5" w:rsidP="00482032">
      <w:pPr>
        <w:widowControl/>
        <w:tabs>
          <w:tab w:val="left" w:pos="4536"/>
        </w:tabs>
        <w:rPr>
          <w:rFonts w:cs="Arial"/>
          <w:szCs w:val="22"/>
        </w:rPr>
      </w:pPr>
      <w:r w:rsidRPr="004D60AC">
        <w:rPr>
          <w:rFonts w:cs="Arial"/>
          <w:szCs w:val="22"/>
        </w:rPr>
        <w:t>AUSTRALIA</w:t>
      </w:r>
      <w:r w:rsidRPr="004D60AC">
        <w:rPr>
          <w:rFonts w:cs="Arial"/>
          <w:szCs w:val="22"/>
        </w:rPr>
        <w:tab/>
      </w:r>
      <w:r w:rsidRPr="004D60AC">
        <w:rPr>
          <w:rFonts w:cs="Arial"/>
          <w:szCs w:val="22"/>
        </w:rPr>
        <w:tab/>
        <w:t>NEW ZEALAND</w:t>
      </w:r>
    </w:p>
    <w:p w14:paraId="37369A50" w14:textId="77777777" w:rsidR="00CE56F5" w:rsidRPr="004D60AC" w:rsidRDefault="00CE56F5" w:rsidP="00482032">
      <w:pPr>
        <w:widowControl/>
        <w:tabs>
          <w:tab w:val="left" w:pos="4536"/>
        </w:tabs>
        <w:rPr>
          <w:rFonts w:cs="Arial"/>
          <w:szCs w:val="22"/>
        </w:rPr>
        <w:sectPr w:rsidR="00CE56F5" w:rsidRPr="004D60AC"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r w:rsidRPr="004D60AC">
        <w:rPr>
          <w:rFonts w:cs="Arial"/>
          <w:szCs w:val="22"/>
        </w:rPr>
        <w:t xml:space="preserve">Tel +61 2 6271 2222  </w:t>
      </w:r>
      <w:r w:rsidRPr="004D60AC">
        <w:rPr>
          <w:rFonts w:cs="Arial"/>
          <w:szCs w:val="22"/>
        </w:rPr>
        <w:tab/>
      </w:r>
      <w:r w:rsidRPr="004D60AC">
        <w:rPr>
          <w:rFonts w:cs="Arial"/>
          <w:szCs w:val="22"/>
        </w:rPr>
        <w:tab/>
        <w:t>Tel +64 4 978 5630</w:t>
      </w:r>
    </w:p>
    <w:p w14:paraId="44CABBA4" w14:textId="77777777" w:rsidR="00CE56F5" w:rsidRPr="004D60AC" w:rsidRDefault="00CE56F5" w:rsidP="00482032">
      <w:pPr>
        <w:widowControl/>
        <w:jc w:val="center"/>
        <w:rPr>
          <w:rFonts w:cs="Arial"/>
          <w:szCs w:val="22"/>
        </w:rPr>
      </w:pPr>
      <w:r w:rsidRPr="004D60AC">
        <w:rPr>
          <w:rFonts w:cs="Arial"/>
          <w:szCs w:val="22"/>
        </w:rPr>
        <w:lastRenderedPageBreak/>
        <w:t>Table of contents</w:t>
      </w:r>
    </w:p>
    <w:p w14:paraId="6964E0BE" w14:textId="551E400B" w:rsidR="004757A5" w:rsidRDefault="00CE56F5">
      <w:pPr>
        <w:pStyle w:val="TOC1"/>
        <w:tabs>
          <w:tab w:val="right" w:leader="dot" w:pos="9060"/>
        </w:tabs>
        <w:rPr>
          <w:rFonts w:eastAsiaTheme="minorEastAsia" w:cstheme="minorBidi"/>
          <w:b w:val="0"/>
          <w:bCs w:val="0"/>
          <w:caps w:val="0"/>
          <w:noProof/>
          <w:sz w:val="22"/>
          <w:szCs w:val="22"/>
          <w:lang w:val="en-GB" w:eastAsia="en-GB" w:bidi="ar-SA"/>
        </w:rPr>
      </w:pPr>
      <w:r w:rsidRPr="004D60AC">
        <w:rPr>
          <w:rFonts w:ascii="Arial" w:hAnsi="Arial" w:cs="Arial"/>
          <w:sz w:val="22"/>
          <w:szCs w:val="22"/>
        </w:rPr>
        <w:fldChar w:fldCharType="begin"/>
      </w:r>
      <w:r w:rsidRPr="004D60AC">
        <w:rPr>
          <w:rFonts w:ascii="Arial" w:hAnsi="Arial" w:cs="Arial"/>
          <w:sz w:val="22"/>
          <w:szCs w:val="22"/>
        </w:rPr>
        <w:instrText xml:space="preserve"> TOC \o "1-3" \h \z \u </w:instrText>
      </w:r>
      <w:r w:rsidRPr="004D60AC">
        <w:rPr>
          <w:rFonts w:ascii="Arial" w:hAnsi="Arial" w:cs="Arial"/>
          <w:sz w:val="22"/>
          <w:szCs w:val="22"/>
        </w:rPr>
        <w:fldChar w:fldCharType="separate"/>
      </w:r>
      <w:hyperlink w:anchor="_Toc70002623" w:history="1">
        <w:r w:rsidR="004757A5" w:rsidRPr="00D855B6">
          <w:rPr>
            <w:rStyle w:val="Hyperlink"/>
            <w:rFonts w:cs="Arial"/>
            <w:noProof/>
          </w:rPr>
          <w:t>Executive summary</w:t>
        </w:r>
        <w:r w:rsidR="004757A5">
          <w:rPr>
            <w:noProof/>
            <w:webHidden/>
          </w:rPr>
          <w:tab/>
        </w:r>
        <w:r w:rsidR="004757A5">
          <w:rPr>
            <w:noProof/>
            <w:webHidden/>
          </w:rPr>
          <w:fldChar w:fldCharType="begin"/>
        </w:r>
        <w:r w:rsidR="004757A5">
          <w:rPr>
            <w:noProof/>
            <w:webHidden/>
          </w:rPr>
          <w:instrText xml:space="preserve"> PAGEREF _Toc70002623 \h </w:instrText>
        </w:r>
        <w:r w:rsidR="004757A5">
          <w:rPr>
            <w:noProof/>
            <w:webHidden/>
          </w:rPr>
        </w:r>
        <w:r w:rsidR="004757A5">
          <w:rPr>
            <w:noProof/>
            <w:webHidden/>
          </w:rPr>
          <w:fldChar w:fldCharType="separate"/>
        </w:r>
        <w:r w:rsidR="004757A5">
          <w:rPr>
            <w:noProof/>
            <w:webHidden/>
          </w:rPr>
          <w:t>3</w:t>
        </w:r>
        <w:r w:rsidR="004757A5">
          <w:rPr>
            <w:noProof/>
            <w:webHidden/>
          </w:rPr>
          <w:fldChar w:fldCharType="end"/>
        </w:r>
      </w:hyperlink>
    </w:p>
    <w:p w14:paraId="5E0EC6A4" w14:textId="155FF9C2" w:rsidR="004757A5" w:rsidRDefault="009319F9">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70002624" w:history="1">
        <w:r w:rsidR="004757A5" w:rsidRPr="00D855B6">
          <w:rPr>
            <w:rStyle w:val="Hyperlink"/>
            <w:noProof/>
          </w:rPr>
          <w:t>1</w:t>
        </w:r>
        <w:r w:rsidR="004757A5">
          <w:rPr>
            <w:rFonts w:eastAsiaTheme="minorEastAsia" w:cstheme="minorBidi"/>
            <w:b w:val="0"/>
            <w:bCs w:val="0"/>
            <w:caps w:val="0"/>
            <w:noProof/>
            <w:sz w:val="22"/>
            <w:szCs w:val="22"/>
            <w:lang w:val="en-GB" w:eastAsia="en-GB" w:bidi="ar-SA"/>
          </w:rPr>
          <w:tab/>
        </w:r>
        <w:r w:rsidR="004757A5" w:rsidRPr="00D855B6">
          <w:rPr>
            <w:rStyle w:val="Hyperlink"/>
            <w:noProof/>
          </w:rPr>
          <w:t>Introduction</w:t>
        </w:r>
        <w:r w:rsidR="004757A5">
          <w:rPr>
            <w:noProof/>
            <w:webHidden/>
          </w:rPr>
          <w:tab/>
        </w:r>
        <w:r w:rsidR="004757A5">
          <w:rPr>
            <w:noProof/>
            <w:webHidden/>
          </w:rPr>
          <w:fldChar w:fldCharType="begin"/>
        </w:r>
        <w:r w:rsidR="004757A5">
          <w:rPr>
            <w:noProof/>
            <w:webHidden/>
          </w:rPr>
          <w:instrText xml:space="preserve"> PAGEREF _Toc70002624 \h </w:instrText>
        </w:r>
        <w:r w:rsidR="004757A5">
          <w:rPr>
            <w:noProof/>
            <w:webHidden/>
          </w:rPr>
        </w:r>
        <w:r w:rsidR="004757A5">
          <w:rPr>
            <w:noProof/>
            <w:webHidden/>
          </w:rPr>
          <w:fldChar w:fldCharType="separate"/>
        </w:r>
        <w:r w:rsidR="004757A5">
          <w:rPr>
            <w:noProof/>
            <w:webHidden/>
          </w:rPr>
          <w:t>5</w:t>
        </w:r>
        <w:r w:rsidR="004757A5">
          <w:rPr>
            <w:noProof/>
            <w:webHidden/>
          </w:rPr>
          <w:fldChar w:fldCharType="end"/>
        </w:r>
      </w:hyperlink>
    </w:p>
    <w:p w14:paraId="77E777D0" w14:textId="3E7F33B1" w:rsidR="004757A5" w:rsidRDefault="009319F9">
      <w:pPr>
        <w:pStyle w:val="TOC2"/>
        <w:tabs>
          <w:tab w:val="left" w:pos="880"/>
          <w:tab w:val="right" w:leader="dot" w:pos="9060"/>
        </w:tabs>
        <w:rPr>
          <w:rFonts w:eastAsiaTheme="minorEastAsia" w:cstheme="minorBidi"/>
          <w:smallCaps w:val="0"/>
          <w:noProof/>
          <w:sz w:val="22"/>
          <w:szCs w:val="22"/>
          <w:lang w:val="en-GB" w:eastAsia="en-GB" w:bidi="ar-SA"/>
        </w:rPr>
      </w:pPr>
      <w:hyperlink w:anchor="_Toc70002625" w:history="1">
        <w:r w:rsidR="004757A5" w:rsidRPr="00D855B6">
          <w:rPr>
            <w:rStyle w:val="Hyperlink"/>
            <w:noProof/>
          </w:rPr>
          <w:t>1.1</w:t>
        </w:r>
        <w:r w:rsidR="004757A5">
          <w:rPr>
            <w:rFonts w:eastAsiaTheme="minorEastAsia" w:cstheme="minorBidi"/>
            <w:smallCaps w:val="0"/>
            <w:noProof/>
            <w:sz w:val="22"/>
            <w:szCs w:val="22"/>
            <w:lang w:val="en-GB" w:eastAsia="en-GB" w:bidi="ar-SA"/>
          </w:rPr>
          <w:tab/>
        </w:r>
        <w:r w:rsidR="004757A5" w:rsidRPr="00D855B6">
          <w:rPr>
            <w:rStyle w:val="Hyperlink"/>
            <w:noProof/>
          </w:rPr>
          <w:t>The Applicant</w:t>
        </w:r>
        <w:r w:rsidR="004757A5">
          <w:rPr>
            <w:noProof/>
            <w:webHidden/>
          </w:rPr>
          <w:tab/>
        </w:r>
        <w:r w:rsidR="004757A5">
          <w:rPr>
            <w:noProof/>
            <w:webHidden/>
          </w:rPr>
          <w:fldChar w:fldCharType="begin"/>
        </w:r>
        <w:r w:rsidR="004757A5">
          <w:rPr>
            <w:noProof/>
            <w:webHidden/>
          </w:rPr>
          <w:instrText xml:space="preserve"> PAGEREF _Toc70002625 \h </w:instrText>
        </w:r>
        <w:r w:rsidR="004757A5">
          <w:rPr>
            <w:noProof/>
            <w:webHidden/>
          </w:rPr>
        </w:r>
        <w:r w:rsidR="004757A5">
          <w:rPr>
            <w:noProof/>
            <w:webHidden/>
          </w:rPr>
          <w:fldChar w:fldCharType="separate"/>
        </w:r>
        <w:r w:rsidR="004757A5">
          <w:rPr>
            <w:noProof/>
            <w:webHidden/>
          </w:rPr>
          <w:t>5</w:t>
        </w:r>
        <w:r w:rsidR="004757A5">
          <w:rPr>
            <w:noProof/>
            <w:webHidden/>
          </w:rPr>
          <w:fldChar w:fldCharType="end"/>
        </w:r>
      </w:hyperlink>
    </w:p>
    <w:p w14:paraId="05EC5888" w14:textId="4D36ECC4" w:rsidR="004757A5" w:rsidRDefault="009319F9">
      <w:pPr>
        <w:pStyle w:val="TOC2"/>
        <w:tabs>
          <w:tab w:val="left" w:pos="880"/>
          <w:tab w:val="right" w:leader="dot" w:pos="9060"/>
        </w:tabs>
        <w:rPr>
          <w:rFonts w:eastAsiaTheme="minorEastAsia" w:cstheme="minorBidi"/>
          <w:smallCaps w:val="0"/>
          <w:noProof/>
          <w:sz w:val="22"/>
          <w:szCs w:val="22"/>
          <w:lang w:val="en-GB" w:eastAsia="en-GB" w:bidi="ar-SA"/>
        </w:rPr>
      </w:pPr>
      <w:hyperlink w:anchor="_Toc70002626" w:history="1">
        <w:r w:rsidR="004757A5" w:rsidRPr="00D855B6">
          <w:rPr>
            <w:rStyle w:val="Hyperlink"/>
            <w:noProof/>
          </w:rPr>
          <w:t>1.2</w:t>
        </w:r>
        <w:r w:rsidR="004757A5">
          <w:rPr>
            <w:rFonts w:eastAsiaTheme="minorEastAsia" w:cstheme="minorBidi"/>
            <w:smallCaps w:val="0"/>
            <w:noProof/>
            <w:sz w:val="22"/>
            <w:szCs w:val="22"/>
            <w:lang w:val="en-GB" w:eastAsia="en-GB" w:bidi="ar-SA"/>
          </w:rPr>
          <w:tab/>
        </w:r>
        <w:r w:rsidR="004757A5" w:rsidRPr="00D855B6">
          <w:rPr>
            <w:rStyle w:val="Hyperlink"/>
            <w:noProof/>
          </w:rPr>
          <w:t>The Application</w:t>
        </w:r>
        <w:r w:rsidR="004757A5">
          <w:rPr>
            <w:noProof/>
            <w:webHidden/>
          </w:rPr>
          <w:tab/>
        </w:r>
        <w:r w:rsidR="004757A5">
          <w:rPr>
            <w:noProof/>
            <w:webHidden/>
          </w:rPr>
          <w:fldChar w:fldCharType="begin"/>
        </w:r>
        <w:r w:rsidR="004757A5">
          <w:rPr>
            <w:noProof/>
            <w:webHidden/>
          </w:rPr>
          <w:instrText xml:space="preserve"> PAGEREF _Toc70002626 \h </w:instrText>
        </w:r>
        <w:r w:rsidR="004757A5">
          <w:rPr>
            <w:noProof/>
            <w:webHidden/>
          </w:rPr>
        </w:r>
        <w:r w:rsidR="004757A5">
          <w:rPr>
            <w:noProof/>
            <w:webHidden/>
          </w:rPr>
          <w:fldChar w:fldCharType="separate"/>
        </w:r>
        <w:r w:rsidR="004757A5">
          <w:rPr>
            <w:noProof/>
            <w:webHidden/>
          </w:rPr>
          <w:t>5</w:t>
        </w:r>
        <w:r w:rsidR="004757A5">
          <w:rPr>
            <w:noProof/>
            <w:webHidden/>
          </w:rPr>
          <w:fldChar w:fldCharType="end"/>
        </w:r>
      </w:hyperlink>
    </w:p>
    <w:p w14:paraId="570D1785" w14:textId="76D46C70" w:rsidR="004757A5" w:rsidRDefault="009319F9">
      <w:pPr>
        <w:pStyle w:val="TOC2"/>
        <w:tabs>
          <w:tab w:val="left" w:pos="880"/>
          <w:tab w:val="right" w:leader="dot" w:pos="9060"/>
        </w:tabs>
        <w:rPr>
          <w:rFonts w:eastAsiaTheme="minorEastAsia" w:cstheme="minorBidi"/>
          <w:smallCaps w:val="0"/>
          <w:noProof/>
          <w:sz w:val="22"/>
          <w:szCs w:val="22"/>
          <w:lang w:val="en-GB" w:eastAsia="en-GB" w:bidi="ar-SA"/>
        </w:rPr>
      </w:pPr>
      <w:hyperlink w:anchor="_Toc70002627" w:history="1">
        <w:r w:rsidR="004757A5" w:rsidRPr="00D855B6">
          <w:rPr>
            <w:rStyle w:val="Hyperlink"/>
            <w:noProof/>
          </w:rPr>
          <w:t>1.3</w:t>
        </w:r>
        <w:r w:rsidR="004757A5">
          <w:rPr>
            <w:rFonts w:eastAsiaTheme="minorEastAsia" w:cstheme="minorBidi"/>
            <w:smallCaps w:val="0"/>
            <w:noProof/>
            <w:sz w:val="22"/>
            <w:szCs w:val="22"/>
            <w:lang w:val="en-GB" w:eastAsia="en-GB" w:bidi="ar-SA"/>
          </w:rPr>
          <w:tab/>
        </w:r>
        <w:r w:rsidR="004757A5" w:rsidRPr="00D855B6">
          <w:rPr>
            <w:rStyle w:val="Hyperlink"/>
            <w:noProof/>
          </w:rPr>
          <w:t>The current standards</w:t>
        </w:r>
        <w:r w:rsidR="004757A5">
          <w:rPr>
            <w:noProof/>
            <w:webHidden/>
          </w:rPr>
          <w:tab/>
        </w:r>
        <w:r w:rsidR="004757A5">
          <w:rPr>
            <w:noProof/>
            <w:webHidden/>
          </w:rPr>
          <w:fldChar w:fldCharType="begin"/>
        </w:r>
        <w:r w:rsidR="004757A5">
          <w:rPr>
            <w:noProof/>
            <w:webHidden/>
          </w:rPr>
          <w:instrText xml:space="preserve"> PAGEREF _Toc70002627 \h </w:instrText>
        </w:r>
        <w:r w:rsidR="004757A5">
          <w:rPr>
            <w:noProof/>
            <w:webHidden/>
          </w:rPr>
        </w:r>
        <w:r w:rsidR="004757A5">
          <w:rPr>
            <w:noProof/>
            <w:webHidden/>
          </w:rPr>
          <w:fldChar w:fldCharType="separate"/>
        </w:r>
        <w:r w:rsidR="004757A5">
          <w:rPr>
            <w:noProof/>
            <w:webHidden/>
          </w:rPr>
          <w:t>5</w:t>
        </w:r>
        <w:r w:rsidR="004757A5">
          <w:rPr>
            <w:noProof/>
            <w:webHidden/>
          </w:rPr>
          <w:fldChar w:fldCharType="end"/>
        </w:r>
      </w:hyperlink>
    </w:p>
    <w:p w14:paraId="2C4C3969" w14:textId="4E101AFC" w:rsidR="004757A5" w:rsidRDefault="009319F9">
      <w:pPr>
        <w:pStyle w:val="TOC3"/>
        <w:tabs>
          <w:tab w:val="left" w:pos="1100"/>
          <w:tab w:val="right" w:leader="dot" w:pos="9060"/>
        </w:tabs>
        <w:rPr>
          <w:rFonts w:eastAsiaTheme="minorEastAsia" w:cstheme="minorBidi"/>
          <w:i w:val="0"/>
          <w:iCs w:val="0"/>
          <w:noProof/>
          <w:sz w:val="22"/>
          <w:szCs w:val="22"/>
          <w:lang w:val="en-GB" w:eastAsia="en-GB" w:bidi="ar-SA"/>
        </w:rPr>
      </w:pPr>
      <w:hyperlink w:anchor="_Toc70002628" w:history="1">
        <w:r w:rsidR="004757A5" w:rsidRPr="00D855B6">
          <w:rPr>
            <w:rStyle w:val="Hyperlink"/>
            <w:noProof/>
          </w:rPr>
          <w:t>1.3.1</w:t>
        </w:r>
        <w:r w:rsidR="004757A5">
          <w:rPr>
            <w:rFonts w:eastAsiaTheme="minorEastAsia" w:cstheme="minorBidi"/>
            <w:i w:val="0"/>
            <w:iCs w:val="0"/>
            <w:noProof/>
            <w:sz w:val="22"/>
            <w:szCs w:val="22"/>
            <w:lang w:val="en-GB" w:eastAsia="en-GB" w:bidi="ar-SA"/>
          </w:rPr>
          <w:tab/>
        </w:r>
        <w:r w:rsidR="004757A5" w:rsidRPr="00D855B6">
          <w:rPr>
            <w:rStyle w:val="Hyperlink"/>
            <w:noProof/>
          </w:rPr>
          <w:t>Regulation of dietary fibre</w:t>
        </w:r>
        <w:r w:rsidR="004757A5">
          <w:rPr>
            <w:noProof/>
            <w:webHidden/>
          </w:rPr>
          <w:tab/>
        </w:r>
        <w:r w:rsidR="004757A5">
          <w:rPr>
            <w:noProof/>
            <w:webHidden/>
          </w:rPr>
          <w:fldChar w:fldCharType="begin"/>
        </w:r>
        <w:r w:rsidR="004757A5">
          <w:rPr>
            <w:noProof/>
            <w:webHidden/>
          </w:rPr>
          <w:instrText xml:space="preserve"> PAGEREF _Toc70002628 \h </w:instrText>
        </w:r>
        <w:r w:rsidR="004757A5">
          <w:rPr>
            <w:noProof/>
            <w:webHidden/>
          </w:rPr>
        </w:r>
        <w:r w:rsidR="004757A5">
          <w:rPr>
            <w:noProof/>
            <w:webHidden/>
          </w:rPr>
          <w:fldChar w:fldCharType="separate"/>
        </w:r>
        <w:r w:rsidR="004757A5">
          <w:rPr>
            <w:noProof/>
            <w:webHidden/>
          </w:rPr>
          <w:t>6</w:t>
        </w:r>
        <w:r w:rsidR="004757A5">
          <w:rPr>
            <w:noProof/>
            <w:webHidden/>
          </w:rPr>
          <w:fldChar w:fldCharType="end"/>
        </w:r>
      </w:hyperlink>
    </w:p>
    <w:p w14:paraId="034340CC" w14:textId="439EBFBC" w:rsidR="004757A5" w:rsidRDefault="009319F9">
      <w:pPr>
        <w:pStyle w:val="TOC3"/>
        <w:tabs>
          <w:tab w:val="left" w:pos="1100"/>
          <w:tab w:val="right" w:leader="dot" w:pos="9060"/>
        </w:tabs>
        <w:rPr>
          <w:rFonts w:eastAsiaTheme="minorEastAsia" w:cstheme="minorBidi"/>
          <w:i w:val="0"/>
          <w:iCs w:val="0"/>
          <w:noProof/>
          <w:sz w:val="22"/>
          <w:szCs w:val="22"/>
          <w:lang w:val="en-GB" w:eastAsia="en-GB" w:bidi="ar-SA"/>
        </w:rPr>
      </w:pPr>
      <w:hyperlink w:anchor="_Toc70002629" w:history="1">
        <w:r w:rsidR="004757A5" w:rsidRPr="00D855B6">
          <w:rPr>
            <w:rStyle w:val="Hyperlink"/>
            <w:noProof/>
          </w:rPr>
          <w:t>1.3.2</w:t>
        </w:r>
        <w:r w:rsidR="004757A5">
          <w:rPr>
            <w:rFonts w:eastAsiaTheme="minorEastAsia" w:cstheme="minorBidi"/>
            <w:i w:val="0"/>
            <w:iCs w:val="0"/>
            <w:noProof/>
            <w:sz w:val="22"/>
            <w:szCs w:val="22"/>
            <w:lang w:val="en-GB" w:eastAsia="en-GB" w:bidi="ar-SA"/>
          </w:rPr>
          <w:tab/>
        </w:r>
        <w:r w:rsidR="004757A5" w:rsidRPr="00D855B6">
          <w:rPr>
            <w:rStyle w:val="Hyperlink"/>
            <w:noProof/>
          </w:rPr>
          <w:t>Labelling requirements for dietary fibre</w:t>
        </w:r>
        <w:r w:rsidR="004757A5">
          <w:rPr>
            <w:noProof/>
            <w:webHidden/>
          </w:rPr>
          <w:tab/>
        </w:r>
        <w:r w:rsidR="004757A5">
          <w:rPr>
            <w:noProof/>
            <w:webHidden/>
          </w:rPr>
          <w:fldChar w:fldCharType="begin"/>
        </w:r>
        <w:r w:rsidR="004757A5">
          <w:rPr>
            <w:noProof/>
            <w:webHidden/>
          </w:rPr>
          <w:instrText xml:space="preserve"> PAGEREF _Toc70002629 \h </w:instrText>
        </w:r>
        <w:r w:rsidR="004757A5">
          <w:rPr>
            <w:noProof/>
            <w:webHidden/>
          </w:rPr>
        </w:r>
        <w:r w:rsidR="004757A5">
          <w:rPr>
            <w:noProof/>
            <w:webHidden/>
          </w:rPr>
          <w:fldChar w:fldCharType="separate"/>
        </w:r>
        <w:r w:rsidR="004757A5">
          <w:rPr>
            <w:noProof/>
            <w:webHidden/>
          </w:rPr>
          <w:t>6</w:t>
        </w:r>
        <w:r w:rsidR="004757A5">
          <w:rPr>
            <w:noProof/>
            <w:webHidden/>
          </w:rPr>
          <w:fldChar w:fldCharType="end"/>
        </w:r>
      </w:hyperlink>
    </w:p>
    <w:p w14:paraId="461988CF" w14:textId="70386ADE" w:rsidR="004757A5" w:rsidRDefault="009319F9">
      <w:pPr>
        <w:pStyle w:val="TOC2"/>
        <w:tabs>
          <w:tab w:val="left" w:pos="880"/>
          <w:tab w:val="right" w:leader="dot" w:pos="9060"/>
        </w:tabs>
        <w:rPr>
          <w:rFonts w:eastAsiaTheme="minorEastAsia" w:cstheme="minorBidi"/>
          <w:smallCaps w:val="0"/>
          <w:noProof/>
          <w:sz w:val="22"/>
          <w:szCs w:val="22"/>
          <w:lang w:val="en-GB" w:eastAsia="en-GB" w:bidi="ar-SA"/>
        </w:rPr>
      </w:pPr>
      <w:hyperlink w:anchor="_Toc70002630" w:history="1">
        <w:r w:rsidR="004757A5" w:rsidRPr="00D855B6">
          <w:rPr>
            <w:rStyle w:val="Hyperlink"/>
            <w:noProof/>
          </w:rPr>
          <w:t>1.4</w:t>
        </w:r>
        <w:r w:rsidR="004757A5">
          <w:rPr>
            <w:rFonts w:eastAsiaTheme="minorEastAsia" w:cstheme="minorBidi"/>
            <w:smallCaps w:val="0"/>
            <w:noProof/>
            <w:sz w:val="22"/>
            <w:szCs w:val="22"/>
            <w:lang w:val="en-GB" w:eastAsia="en-GB" w:bidi="ar-SA"/>
          </w:rPr>
          <w:tab/>
        </w:r>
        <w:r w:rsidR="004757A5" w:rsidRPr="00D855B6">
          <w:rPr>
            <w:rStyle w:val="Hyperlink"/>
            <w:noProof/>
          </w:rPr>
          <w:t>International standards</w:t>
        </w:r>
        <w:r w:rsidR="004757A5">
          <w:rPr>
            <w:noProof/>
            <w:webHidden/>
          </w:rPr>
          <w:tab/>
        </w:r>
        <w:r w:rsidR="004757A5">
          <w:rPr>
            <w:noProof/>
            <w:webHidden/>
          </w:rPr>
          <w:fldChar w:fldCharType="begin"/>
        </w:r>
        <w:r w:rsidR="004757A5">
          <w:rPr>
            <w:noProof/>
            <w:webHidden/>
          </w:rPr>
          <w:instrText xml:space="preserve"> PAGEREF _Toc70002630 \h </w:instrText>
        </w:r>
        <w:r w:rsidR="004757A5">
          <w:rPr>
            <w:noProof/>
            <w:webHidden/>
          </w:rPr>
        </w:r>
        <w:r w:rsidR="004757A5">
          <w:rPr>
            <w:noProof/>
            <w:webHidden/>
          </w:rPr>
          <w:fldChar w:fldCharType="separate"/>
        </w:r>
        <w:r w:rsidR="004757A5">
          <w:rPr>
            <w:noProof/>
            <w:webHidden/>
          </w:rPr>
          <w:t>7</w:t>
        </w:r>
        <w:r w:rsidR="004757A5">
          <w:rPr>
            <w:noProof/>
            <w:webHidden/>
          </w:rPr>
          <w:fldChar w:fldCharType="end"/>
        </w:r>
      </w:hyperlink>
    </w:p>
    <w:p w14:paraId="5CA2379B" w14:textId="2222E43C" w:rsidR="004757A5" w:rsidRDefault="009319F9">
      <w:pPr>
        <w:pStyle w:val="TOC3"/>
        <w:tabs>
          <w:tab w:val="left" w:pos="1100"/>
          <w:tab w:val="right" w:leader="dot" w:pos="9060"/>
        </w:tabs>
        <w:rPr>
          <w:rFonts w:eastAsiaTheme="minorEastAsia" w:cstheme="minorBidi"/>
          <w:i w:val="0"/>
          <w:iCs w:val="0"/>
          <w:noProof/>
          <w:sz w:val="22"/>
          <w:szCs w:val="22"/>
          <w:lang w:val="en-GB" w:eastAsia="en-GB" w:bidi="ar-SA"/>
        </w:rPr>
      </w:pPr>
      <w:hyperlink w:anchor="_Toc70002631" w:history="1">
        <w:r w:rsidR="004757A5" w:rsidRPr="00D855B6">
          <w:rPr>
            <w:rStyle w:val="Hyperlink"/>
            <w:noProof/>
          </w:rPr>
          <w:t>1.4.1</w:t>
        </w:r>
        <w:r w:rsidR="004757A5">
          <w:rPr>
            <w:rFonts w:eastAsiaTheme="minorEastAsia" w:cstheme="minorBidi"/>
            <w:i w:val="0"/>
            <w:iCs w:val="0"/>
            <w:noProof/>
            <w:sz w:val="22"/>
            <w:szCs w:val="22"/>
            <w:lang w:val="en-GB" w:eastAsia="en-GB" w:bidi="ar-SA"/>
          </w:rPr>
          <w:tab/>
        </w:r>
        <w:r w:rsidR="004757A5" w:rsidRPr="00D855B6">
          <w:rPr>
            <w:rStyle w:val="Hyperlink"/>
            <w:noProof/>
          </w:rPr>
          <w:t>Codex</w:t>
        </w:r>
        <w:r w:rsidR="004757A5">
          <w:rPr>
            <w:noProof/>
            <w:webHidden/>
          </w:rPr>
          <w:tab/>
        </w:r>
        <w:r w:rsidR="004757A5">
          <w:rPr>
            <w:noProof/>
            <w:webHidden/>
          </w:rPr>
          <w:fldChar w:fldCharType="begin"/>
        </w:r>
        <w:r w:rsidR="004757A5">
          <w:rPr>
            <w:noProof/>
            <w:webHidden/>
          </w:rPr>
          <w:instrText xml:space="preserve"> PAGEREF _Toc70002631 \h </w:instrText>
        </w:r>
        <w:r w:rsidR="004757A5">
          <w:rPr>
            <w:noProof/>
            <w:webHidden/>
          </w:rPr>
        </w:r>
        <w:r w:rsidR="004757A5">
          <w:rPr>
            <w:noProof/>
            <w:webHidden/>
          </w:rPr>
          <w:fldChar w:fldCharType="separate"/>
        </w:r>
        <w:r w:rsidR="004757A5">
          <w:rPr>
            <w:noProof/>
            <w:webHidden/>
          </w:rPr>
          <w:t>7</w:t>
        </w:r>
        <w:r w:rsidR="004757A5">
          <w:rPr>
            <w:noProof/>
            <w:webHidden/>
          </w:rPr>
          <w:fldChar w:fldCharType="end"/>
        </w:r>
      </w:hyperlink>
    </w:p>
    <w:p w14:paraId="563C0DF3" w14:textId="4302A88F" w:rsidR="004757A5" w:rsidRDefault="009319F9">
      <w:pPr>
        <w:pStyle w:val="TOC3"/>
        <w:tabs>
          <w:tab w:val="left" w:pos="1100"/>
          <w:tab w:val="right" w:leader="dot" w:pos="9060"/>
        </w:tabs>
        <w:rPr>
          <w:rFonts w:eastAsiaTheme="minorEastAsia" w:cstheme="minorBidi"/>
          <w:i w:val="0"/>
          <w:iCs w:val="0"/>
          <w:noProof/>
          <w:sz w:val="22"/>
          <w:szCs w:val="22"/>
          <w:lang w:val="en-GB" w:eastAsia="en-GB" w:bidi="ar-SA"/>
        </w:rPr>
      </w:pPr>
      <w:hyperlink w:anchor="_Toc70002632" w:history="1">
        <w:r w:rsidR="004757A5" w:rsidRPr="00D855B6">
          <w:rPr>
            <w:rStyle w:val="Hyperlink"/>
            <w:noProof/>
          </w:rPr>
          <w:t>1.4.2</w:t>
        </w:r>
        <w:r w:rsidR="004757A5">
          <w:rPr>
            <w:rFonts w:eastAsiaTheme="minorEastAsia" w:cstheme="minorBidi"/>
            <w:i w:val="0"/>
            <w:iCs w:val="0"/>
            <w:noProof/>
            <w:sz w:val="22"/>
            <w:szCs w:val="22"/>
            <w:lang w:val="en-GB" w:eastAsia="en-GB" w:bidi="ar-SA"/>
          </w:rPr>
          <w:tab/>
        </w:r>
        <w:r w:rsidR="004757A5" w:rsidRPr="00D855B6">
          <w:rPr>
            <w:rStyle w:val="Hyperlink"/>
            <w:noProof/>
          </w:rPr>
          <w:t>United States</w:t>
        </w:r>
        <w:r w:rsidR="004757A5">
          <w:rPr>
            <w:noProof/>
            <w:webHidden/>
          </w:rPr>
          <w:tab/>
        </w:r>
        <w:r w:rsidR="004757A5">
          <w:rPr>
            <w:noProof/>
            <w:webHidden/>
          </w:rPr>
          <w:fldChar w:fldCharType="begin"/>
        </w:r>
        <w:r w:rsidR="004757A5">
          <w:rPr>
            <w:noProof/>
            <w:webHidden/>
          </w:rPr>
          <w:instrText xml:space="preserve"> PAGEREF _Toc70002632 \h </w:instrText>
        </w:r>
        <w:r w:rsidR="004757A5">
          <w:rPr>
            <w:noProof/>
            <w:webHidden/>
          </w:rPr>
        </w:r>
        <w:r w:rsidR="004757A5">
          <w:rPr>
            <w:noProof/>
            <w:webHidden/>
          </w:rPr>
          <w:fldChar w:fldCharType="separate"/>
        </w:r>
        <w:r w:rsidR="004757A5">
          <w:rPr>
            <w:noProof/>
            <w:webHidden/>
          </w:rPr>
          <w:t>8</w:t>
        </w:r>
        <w:r w:rsidR="004757A5">
          <w:rPr>
            <w:noProof/>
            <w:webHidden/>
          </w:rPr>
          <w:fldChar w:fldCharType="end"/>
        </w:r>
      </w:hyperlink>
    </w:p>
    <w:p w14:paraId="58EFF88B" w14:textId="296B4EAD" w:rsidR="004757A5" w:rsidRDefault="009319F9">
      <w:pPr>
        <w:pStyle w:val="TOC3"/>
        <w:tabs>
          <w:tab w:val="left" w:pos="1100"/>
          <w:tab w:val="right" w:leader="dot" w:pos="9060"/>
        </w:tabs>
        <w:rPr>
          <w:rFonts w:eastAsiaTheme="minorEastAsia" w:cstheme="minorBidi"/>
          <w:i w:val="0"/>
          <w:iCs w:val="0"/>
          <w:noProof/>
          <w:sz w:val="22"/>
          <w:szCs w:val="22"/>
          <w:lang w:val="en-GB" w:eastAsia="en-GB" w:bidi="ar-SA"/>
        </w:rPr>
      </w:pPr>
      <w:hyperlink w:anchor="_Toc70002633" w:history="1">
        <w:r w:rsidR="004757A5" w:rsidRPr="00D855B6">
          <w:rPr>
            <w:rStyle w:val="Hyperlink"/>
            <w:noProof/>
          </w:rPr>
          <w:t>1.4.3</w:t>
        </w:r>
        <w:r w:rsidR="004757A5">
          <w:rPr>
            <w:rFonts w:eastAsiaTheme="minorEastAsia" w:cstheme="minorBidi"/>
            <w:i w:val="0"/>
            <w:iCs w:val="0"/>
            <w:noProof/>
            <w:sz w:val="22"/>
            <w:szCs w:val="22"/>
            <w:lang w:val="en-GB" w:eastAsia="en-GB" w:bidi="ar-SA"/>
          </w:rPr>
          <w:tab/>
        </w:r>
        <w:r w:rsidR="004757A5" w:rsidRPr="00D855B6">
          <w:rPr>
            <w:rStyle w:val="Hyperlink"/>
            <w:noProof/>
          </w:rPr>
          <w:t>Canada</w:t>
        </w:r>
        <w:r w:rsidR="004757A5">
          <w:rPr>
            <w:noProof/>
            <w:webHidden/>
          </w:rPr>
          <w:tab/>
        </w:r>
        <w:r w:rsidR="004757A5">
          <w:rPr>
            <w:noProof/>
            <w:webHidden/>
          </w:rPr>
          <w:fldChar w:fldCharType="begin"/>
        </w:r>
        <w:r w:rsidR="004757A5">
          <w:rPr>
            <w:noProof/>
            <w:webHidden/>
          </w:rPr>
          <w:instrText xml:space="preserve"> PAGEREF _Toc70002633 \h </w:instrText>
        </w:r>
        <w:r w:rsidR="004757A5">
          <w:rPr>
            <w:noProof/>
            <w:webHidden/>
          </w:rPr>
        </w:r>
        <w:r w:rsidR="004757A5">
          <w:rPr>
            <w:noProof/>
            <w:webHidden/>
          </w:rPr>
          <w:fldChar w:fldCharType="separate"/>
        </w:r>
        <w:r w:rsidR="004757A5">
          <w:rPr>
            <w:noProof/>
            <w:webHidden/>
          </w:rPr>
          <w:t>9</w:t>
        </w:r>
        <w:r w:rsidR="004757A5">
          <w:rPr>
            <w:noProof/>
            <w:webHidden/>
          </w:rPr>
          <w:fldChar w:fldCharType="end"/>
        </w:r>
      </w:hyperlink>
    </w:p>
    <w:p w14:paraId="091EE176" w14:textId="378AEB9B" w:rsidR="004757A5" w:rsidRDefault="009319F9">
      <w:pPr>
        <w:pStyle w:val="TOC3"/>
        <w:tabs>
          <w:tab w:val="left" w:pos="1100"/>
          <w:tab w:val="right" w:leader="dot" w:pos="9060"/>
        </w:tabs>
        <w:rPr>
          <w:rFonts w:eastAsiaTheme="minorEastAsia" w:cstheme="minorBidi"/>
          <w:i w:val="0"/>
          <w:iCs w:val="0"/>
          <w:noProof/>
          <w:sz w:val="22"/>
          <w:szCs w:val="22"/>
          <w:lang w:val="en-GB" w:eastAsia="en-GB" w:bidi="ar-SA"/>
        </w:rPr>
      </w:pPr>
      <w:hyperlink w:anchor="_Toc70002634" w:history="1">
        <w:r w:rsidR="004757A5" w:rsidRPr="00D855B6">
          <w:rPr>
            <w:rStyle w:val="Hyperlink"/>
            <w:noProof/>
            <w:lang w:val="en"/>
          </w:rPr>
          <w:t>1.4.4</w:t>
        </w:r>
        <w:r w:rsidR="004757A5">
          <w:rPr>
            <w:rFonts w:eastAsiaTheme="minorEastAsia" w:cstheme="minorBidi"/>
            <w:i w:val="0"/>
            <w:iCs w:val="0"/>
            <w:noProof/>
            <w:sz w:val="22"/>
            <w:szCs w:val="22"/>
            <w:lang w:val="en-GB" w:eastAsia="en-GB" w:bidi="ar-SA"/>
          </w:rPr>
          <w:tab/>
        </w:r>
        <w:r w:rsidR="004757A5" w:rsidRPr="00D855B6">
          <w:rPr>
            <w:rStyle w:val="Hyperlink"/>
            <w:noProof/>
            <w:lang w:val="en"/>
          </w:rPr>
          <w:t>European Union</w:t>
        </w:r>
        <w:r w:rsidR="004757A5">
          <w:rPr>
            <w:noProof/>
            <w:webHidden/>
          </w:rPr>
          <w:tab/>
        </w:r>
        <w:r w:rsidR="004757A5">
          <w:rPr>
            <w:noProof/>
            <w:webHidden/>
          </w:rPr>
          <w:fldChar w:fldCharType="begin"/>
        </w:r>
        <w:r w:rsidR="004757A5">
          <w:rPr>
            <w:noProof/>
            <w:webHidden/>
          </w:rPr>
          <w:instrText xml:space="preserve"> PAGEREF _Toc70002634 \h </w:instrText>
        </w:r>
        <w:r w:rsidR="004757A5">
          <w:rPr>
            <w:noProof/>
            <w:webHidden/>
          </w:rPr>
        </w:r>
        <w:r w:rsidR="004757A5">
          <w:rPr>
            <w:noProof/>
            <w:webHidden/>
          </w:rPr>
          <w:fldChar w:fldCharType="separate"/>
        </w:r>
        <w:r w:rsidR="004757A5">
          <w:rPr>
            <w:noProof/>
            <w:webHidden/>
          </w:rPr>
          <w:t>9</w:t>
        </w:r>
        <w:r w:rsidR="004757A5">
          <w:rPr>
            <w:noProof/>
            <w:webHidden/>
          </w:rPr>
          <w:fldChar w:fldCharType="end"/>
        </w:r>
      </w:hyperlink>
    </w:p>
    <w:p w14:paraId="00BC341A" w14:textId="6EAA8987" w:rsidR="004757A5" w:rsidRDefault="009319F9">
      <w:pPr>
        <w:pStyle w:val="TOC2"/>
        <w:tabs>
          <w:tab w:val="left" w:pos="880"/>
          <w:tab w:val="right" w:leader="dot" w:pos="9060"/>
        </w:tabs>
        <w:rPr>
          <w:rFonts w:eastAsiaTheme="minorEastAsia" w:cstheme="minorBidi"/>
          <w:smallCaps w:val="0"/>
          <w:noProof/>
          <w:sz w:val="22"/>
          <w:szCs w:val="22"/>
          <w:lang w:val="en-GB" w:eastAsia="en-GB" w:bidi="ar-SA"/>
        </w:rPr>
      </w:pPr>
      <w:hyperlink w:anchor="_Toc70002635" w:history="1">
        <w:r w:rsidR="004757A5" w:rsidRPr="00D855B6">
          <w:rPr>
            <w:rStyle w:val="Hyperlink"/>
            <w:noProof/>
          </w:rPr>
          <w:t>1.5</w:t>
        </w:r>
        <w:r w:rsidR="004757A5">
          <w:rPr>
            <w:rFonts w:eastAsiaTheme="minorEastAsia" w:cstheme="minorBidi"/>
            <w:smallCaps w:val="0"/>
            <w:noProof/>
            <w:sz w:val="22"/>
            <w:szCs w:val="22"/>
            <w:lang w:val="en-GB" w:eastAsia="en-GB" w:bidi="ar-SA"/>
          </w:rPr>
          <w:tab/>
        </w:r>
        <w:r w:rsidR="004757A5" w:rsidRPr="00D855B6">
          <w:rPr>
            <w:rStyle w:val="Hyperlink"/>
            <w:noProof/>
          </w:rPr>
          <w:t>Reasons for accepting the application</w:t>
        </w:r>
        <w:r w:rsidR="004757A5">
          <w:rPr>
            <w:noProof/>
            <w:webHidden/>
          </w:rPr>
          <w:tab/>
        </w:r>
        <w:r w:rsidR="004757A5">
          <w:rPr>
            <w:noProof/>
            <w:webHidden/>
          </w:rPr>
          <w:fldChar w:fldCharType="begin"/>
        </w:r>
        <w:r w:rsidR="004757A5">
          <w:rPr>
            <w:noProof/>
            <w:webHidden/>
          </w:rPr>
          <w:instrText xml:space="preserve"> PAGEREF _Toc70002635 \h </w:instrText>
        </w:r>
        <w:r w:rsidR="004757A5">
          <w:rPr>
            <w:noProof/>
            <w:webHidden/>
          </w:rPr>
        </w:r>
        <w:r w:rsidR="004757A5">
          <w:rPr>
            <w:noProof/>
            <w:webHidden/>
          </w:rPr>
          <w:fldChar w:fldCharType="separate"/>
        </w:r>
        <w:r w:rsidR="004757A5">
          <w:rPr>
            <w:noProof/>
            <w:webHidden/>
          </w:rPr>
          <w:t>10</w:t>
        </w:r>
        <w:r w:rsidR="004757A5">
          <w:rPr>
            <w:noProof/>
            <w:webHidden/>
          </w:rPr>
          <w:fldChar w:fldCharType="end"/>
        </w:r>
      </w:hyperlink>
    </w:p>
    <w:p w14:paraId="4F2780D1" w14:textId="00F888D0" w:rsidR="004757A5" w:rsidRDefault="009319F9">
      <w:pPr>
        <w:pStyle w:val="TOC2"/>
        <w:tabs>
          <w:tab w:val="left" w:pos="880"/>
          <w:tab w:val="right" w:leader="dot" w:pos="9060"/>
        </w:tabs>
        <w:rPr>
          <w:rFonts w:eastAsiaTheme="minorEastAsia" w:cstheme="minorBidi"/>
          <w:smallCaps w:val="0"/>
          <w:noProof/>
          <w:sz w:val="22"/>
          <w:szCs w:val="22"/>
          <w:lang w:val="en-GB" w:eastAsia="en-GB" w:bidi="ar-SA"/>
        </w:rPr>
      </w:pPr>
      <w:hyperlink w:anchor="_Toc70002636" w:history="1">
        <w:r w:rsidR="004757A5" w:rsidRPr="00D855B6">
          <w:rPr>
            <w:rStyle w:val="Hyperlink"/>
            <w:noProof/>
          </w:rPr>
          <w:t>1.6</w:t>
        </w:r>
        <w:r w:rsidR="004757A5">
          <w:rPr>
            <w:rFonts w:eastAsiaTheme="minorEastAsia" w:cstheme="minorBidi"/>
            <w:smallCaps w:val="0"/>
            <w:noProof/>
            <w:sz w:val="22"/>
            <w:szCs w:val="22"/>
            <w:lang w:val="en-GB" w:eastAsia="en-GB" w:bidi="ar-SA"/>
          </w:rPr>
          <w:tab/>
        </w:r>
        <w:r w:rsidR="004757A5" w:rsidRPr="00D855B6">
          <w:rPr>
            <w:rStyle w:val="Hyperlink"/>
            <w:noProof/>
          </w:rPr>
          <w:t>Procedure for assessment</w:t>
        </w:r>
        <w:r w:rsidR="004757A5">
          <w:rPr>
            <w:noProof/>
            <w:webHidden/>
          </w:rPr>
          <w:tab/>
        </w:r>
        <w:r w:rsidR="004757A5">
          <w:rPr>
            <w:noProof/>
            <w:webHidden/>
          </w:rPr>
          <w:fldChar w:fldCharType="begin"/>
        </w:r>
        <w:r w:rsidR="004757A5">
          <w:rPr>
            <w:noProof/>
            <w:webHidden/>
          </w:rPr>
          <w:instrText xml:space="preserve"> PAGEREF _Toc70002636 \h </w:instrText>
        </w:r>
        <w:r w:rsidR="004757A5">
          <w:rPr>
            <w:noProof/>
            <w:webHidden/>
          </w:rPr>
        </w:r>
        <w:r w:rsidR="004757A5">
          <w:rPr>
            <w:noProof/>
            <w:webHidden/>
          </w:rPr>
          <w:fldChar w:fldCharType="separate"/>
        </w:r>
        <w:r w:rsidR="004757A5">
          <w:rPr>
            <w:noProof/>
            <w:webHidden/>
          </w:rPr>
          <w:t>10</w:t>
        </w:r>
        <w:r w:rsidR="004757A5">
          <w:rPr>
            <w:noProof/>
            <w:webHidden/>
          </w:rPr>
          <w:fldChar w:fldCharType="end"/>
        </w:r>
      </w:hyperlink>
    </w:p>
    <w:p w14:paraId="3985B4AF" w14:textId="56593C68" w:rsidR="004757A5" w:rsidRDefault="009319F9">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70002637" w:history="1">
        <w:r w:rsidR="004757A5" w:rsidRPr="00D855B6">
          <w:rPr>
            <w:rStyle w:val="Hyperlink"/>
            <w:noProof/>
          </w:rPr>
          <w:t>2</w:t>
        </w:r>
        <w:r w:rsidR="004757A5">
          <w:rPr>
            <w:rFonts w:eastAsiaTheme="minorEastAsia" w:cstheme="minorBidi"/>
            <w:b w:val="0"/>
            <w:bCs w:val="0"/>
            <w:caps w:val="0"/>
            <w:noProof/>
            <w:sz w:val="22"/>
            <w:szCs w:val="22"/>
            <w:lang w:val="en-GB" w:eastAsia="en-GB" w:bidi="ar-SA"/>
          </w:rPr>
          <w:tab/>
        </w:r>
        <w:r w:rsidR="004757A5" w:rsidRPr="00D855B6">
          <w:rPr>
            <w:rStyle w:val="Hyperlink"/>
            <w:noProof/>
          </w:rPr>
          <w:t>Summary of the Assessment</w:t>
        </w:r>
        <w:r w:rsidR="004757A5">
          <w:rPr>
            <w:noProof/>
            <w:webHidden/>
          </w:rPr>
          <w:tab/>
        </w:r>
        <w:r w:rsidR="004757A5">
          <w:rPr>
            <w:noProof/>
            <w:webHidden/>
          </w:rPr>
          <w:fldChar w:fldCharType="begin"/>
        </w:r>
        <w:r w:rsidR="004757A5">
          <w:rPr>
            <w:noProof/>
            <w:webHidden/>
          </w:rPr>
          <w:instrText xml:space="preserve"> PAGEREF _Toc70002637 \h </w:instrText>
        </w:r>
        <w:r w:rsidR="004757A5">
          <w:rPr>
            <w:noProof/>
            <w:webHidden/>
          </w:rPr>
        </w:r>
        <w:r w:rsidR="004757A5">
          <w:rPr>
            <w:noProof/>
            <w:webHidden/>
          </w:rPr>
          <w:fldChar w:fldCharType="separate"/>
        </w:r>
        <w:r w:rsidR="004757A5">
          <w:rPr>
            <w:noProof/>
            <w:webHidden/>
          </w:rPr>
          <w:t>10</w:t>
        </w:r>
        <w:r w:rsidR="004757A5">
          <w:rPr>
            <w:noProof/>
            <w:webHidden/>
          </w:rPr>
          <w:fldChar w:fldCharType="end"/>
        </w:r>
      </w:hyperlink>
    </w:p>
    <w:p w14:paraId="59716BF3" w14:textId="14733EC8" w:rsidR="004757A5" w:rsidRDefault="009319F9">
      <w:pPr>
        <w:pStyle w:val="TOC2"/>
        <w:tabs>
          <w:tab w:val="left" w:pos="880"/>
          <w:tab w:val="right" w:leader="dot" w:pos="9060"/>
        </w:tabs>
        <w:rPr>
          <w:rFonts w:eastAsiaTheme="minorEastAsia" w:cstheme="minorBidi"/>
          <w:smallCaps w:val="0"/>
          <w:noProof/>
          <w:sz w:val="22"/>
          <w:szCs w:val="22"/>
          <w:lang w:val="en-GB" w:eastAsia="en-GB" w:bidi="ar-SA"/>
        </w:rPr>
      </w:pPr>
      <w:hyperlink w:anchor="_Toc70002638" w:history="1">
        <w:r w:rsidR="004757A5" w:rsidRPr="00D855B6">
          <w:rPr>
            <w:rStyle w:val="Hyperlink"/>
            <w:noProof/>
          </w:rPr>
          <w:t>2.1</w:t>
        </w:r>
        <w:r w:rsidR="004757A5">
          <w:rPr>
            <w:rFonts w:eastAsiaTheme="minorEastAsia" w:cstheme="minorBidi"/>
            <w:smallCaps w:val="0"/>
            <w:noProof/>
            <w:sz w:val="22"/>
            <w:szCs w:val="22"/>
            <w:lang w:val="en-GB" w:eastAsia="en-GB" w:bidi="ar-SA"/>
          </w:rPr>
          <w:tab/>
        </w:r>
        <w:r w:rsidR="004757A5" w:rsidRPr="00D855B6">
          <w:rPr>
            <w:rStyle w:val="Hyperlink"/>
            <w:noProof/>
          </w:rPr>
          <w:t>Risk assessment</w:t>
        </w:r>
        <w:r w:rsidR="004757A5">
          <w:rPr>
            <w:noProof/>
            <w:webHidden/>
          </w:rPr>
          <w:tab/>
        </w:r>
        <w:r w:rsidR="004757A5">
          <w:rPr>
            <w:noProof/>
            <w:webHidden/>
          </w:rPr>
          <w:fldChar w:fldCharType="begin"/>
        </w:r>
        <w:r w:rsidR="004757A5">
          <w:rPr>
            <w:noProof/>
            <w:webHidden/>
          </w:rPr>
          <w:instrText xml:space="preserve"> PAGEREF _Toc70002638 \h </w:instrText>
        </w:r>
        <w:r w:rsidR="004757A5">
          <w:rPr>
            <w:noProof/>
            <w:webHidden/>
          </w:rPr>
        </w:r>
        <w:r w:rsidR="004757A5">
          <w:rPr>
            <w:noProof/>
            <w:webHidden/>
          </w:rPr>
          <w:fldChar w:fldCharType="separate"/>
        </w:r>
        <w:r w:rsidR="004757A5">
          <w:rPr>
            <w:noProof/>
            <w:webHidden/>
          </w:rPr>
          <w:t>10</w:t>
        </w:r>
        <w:r w:rsidR="004757A5">
          <w:rPr>
            <w:noProof/>
            <w:webHidden/>
          </w:rPr>
          <w:fldChar w:fldCharType="end"/>
        </w:r>
      </w:hyperlink>
    </w:p>
    <w:p w14:paraId="6F4722F7" w14:textId="4D2FE23B" w:rsidR="004757A5" w:rsidRDefault="009319F9">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70002639" w:history="1">
        <w:r w:rsidR="004757A5" w:rsidRPr="00D855B6">
          <w:rPr>
            <w:rStyle w:val="Hyperlink"/>
            <w:noProof/>
          </w:rPr>
          <w:t>3</w:t>
        </w:r>
        <w:r w:rsidR="004757A5">
          <w:rPr>
            <w:rFonts w:eastAsiaTheme="minorEastAsia" w:cstheme="minorBidi"/>
            <w:b w:val="0"/>
            <w:bCs w:val="0"/>
            <w:caps w:val="0"/>
            <w:noProof/>
            <w:sz w:val="22"/>
            <w:szCs w:val="22"/>
            <w:lang w:val="en-GB" w:eastAsia="en-GB" w:bidi="ar-SA"/>
          </w:rPr>
          <w:tab/>
        </w:r>
        <w:r w:rsidR="004757A5" w:rsidRPr="00D855B6">
          <w:rPr>
            <w:rStyle w:val="Hyperlink"/>
            <w:noProof/>
          </w:rPr>
          <w:t>Risk management</w:t>
        </w:r>
        <w:r w:rsidR="004757A5">
          <w:rPr>
            <w:noProof/>
            <w:webHidden/>
          </w:rPr>
          <w:tab/>
        </w:r>
        <w:r w:rsidR="004757A5">
          <w:rPr>
            <w:noProof/>
            <w:webHidden/>
          </w:rPr>
          <w:fldChar w:fldCharType="begin"/>
        </w:r>
        <w:r w:rsidR="004757A5">
          <w:rPr>
            <w:noProof/>
            <w:webHidden/>
          </w:rPr>
          <w:instrText xml:space="preserve"> PAGEREF _Toc70002639 \h </w:instrText>
        </w:r>
        <w:r w:rsidR="004757A5">
          <w:rPr>
            <w:noProof/>
            <w:webHidden/>
          </w:rPr>
        </w:r>
        <w:r w:rsidR="004757A5">
          <w:rPr>
            <w:noProof/>
            <w:webHidden/>
          </w:rPr>
          <w:fldChar w:fldCharType="separate"/>
        </w:r>
        <w:r w:rsidR="004757A5">
          <w:rPr>
            <w:noProof/>
            <w:webHidden/>
          </w:rPr>
          <w:t>11</w:t>
        </w:r>
        <w:r w:rsidR="004757A5">
          <w:rPr>
            <w:noProof/>
            <w:webHidden/>
          </w:rPr>
          <w:fldChar w:fldCharType="end"/>
        </w:r>
      </w:hyperlink>
    </w:p>
    <w:p w14:paraId="171547D5" w14:textId="6FC60764" w:rsidR="004757A5" w:rsidRDefault="009319F9">
      <w:pPr>
        <w:pStyle w:val="TOC2"/>
        <w:tabs>
          <w:tab w:val="left" w:pos="880"/>
          <w:tab w:val="right" w:leader="dot" w:pos="9060"/>
        </w:tabs>
        <w:rPr>
          <w:rFonts w:eastAsiaTheme="minorEastAsia" w:cstheme="minorBidi"/>
          <w:smallCaps w:val="0"/>
          <w:noProof/>
          <w:sz w:val="22"/>
          <w:szCs w:val="22"/>
          <w:lang w:val="en-GB" w:eastAsia="en-GB" w:bidi="ar-SA"/>
        </w:rPr>
      </w:pPr>
      <w:hyperlink w:anchor="_Toc70002640" w:history="1">
        <w:r w:rsidR="004757A5" w:rsidRPr="00D855B6">
          <w:rPr>
            <w:rStyle w:val="Hyperlink"/>
            <w:rFonts w:eastAsia="Calibri"/>
            <w:noProof/>
          </w:rPr>
          <w:t>3.1</w:t>
        </w:r>
        <w:r w:rsidR="004757A5">
          <w:rPr>
            <w:rFonts w:eastAsiaTheme="minorEastAsia" w:cstheme="minorBidi"/>
            <w:smallCaps w:val="0"/>
            <w:noProof/>
            <w:sz w:val="22"/>
            <w:szCs w:val="22"/>
            <w:lang w:val="en-GB" w:eastAsia="en-GB" w:bidi="ar-SA"/>
          </w:rPr>
          <w:tab/>
        </w:r>
        <w:r w:rsidR="004757A5" w:rsidRPr="00D855B6">
          <w:rPr>
            <w:rStyle w:val="Hyperlink"/>
            <w:rFonts w:eastAsia="Calibri"/>
            <w:noProof/>
          </w:rPr>
          <w:t>Current use of dietary fibre methods of analysis permitted in the Code</w:t>
        </w:r>
        <w:r w:rsidR="004757A5">
          <w:rPr>
            <w:noProof/>
            <w:webHidden/>
          </w:rPr>
          <w:tab/>
        </w:r>
        <w:r w:rsidR="004757A5">
          <w:rPr>
            <w:noProof/>
            <w:webHidden/>
          </w:rPr>
          <w:fldChar w:fldCharType="begin"/>
        </w:r>
        <w:r w:rsidR="004757A5">
          <w:rPr>
            <w:noProof/>
            <w:webHidden/>
          </w:rPr>
          <w:instrText xml:space="preserve"> PAGEREF _Toc70002640 \h </w:instrText>
        </w:r>
        <w:r w:rsidR="004757A5">
          <w:rPr>
            <w:noProof/>
            <w:webHidden/>
          </w:rPr>
        </w:r>
        <w:r w:rsidR="004757A5">
          <w:rPr>
            <w:noProof/>
            <w:webHidden/>
          </w:rPr>
          <w:fldChar w:fldCharType="separate"/>
        </w:r>
        <w:r w:rsidR="004757A5">
          <w:rPr>
            <w:noProof/>
            <w:webHidden/>
          </w:rPr>
          <w:t>11</w:t>
        </w:r>
        <w:r w:rsidR="004757A5">
          <w:rPr>
            <w:noProof/>
            <w:webHidden/>
          </w:rPr>
          <w:fldChar w:fldCharType="end"/>
        </w:r>
      </w:hyperlink>
    </w:p>
    <w:p w14:paraId="267171A6" w14:textId="00D44E06" w:rsidR="004757A5" w:rsidRDefault="009319F9">
      <w:pPr>
        <w:pStyle w:val="TOC2"/>
        <w:tabs>
          <w:tab w:val="left" w:pos="880"/>
          <w:tab w:val="right" w:leader="dot" w:pos="9060"/>
        </w:tabs>
        <w:rPr>
          <w:rFonts w:eastAsiaTheme="minorEastAsia" w:cstheme="minorBidi"/>
          <w:smallCaps w:val="0"/>
          <w:noProof/>
          <w:sz w:val="22"/>
          <w:szCs w:val="22"/>
          <w:lang w:val="en-GB" w:eastAsia="en-GB" w:bidi="ar-SA"/>
        </w:rPr>
      </w:pPr>
      <w:hyperlink w:anchor="_Toc70002641" w:history="1">
        <w:r w:rsidR="004757A5" w:rsidRPr="00D855B6">
          <w:rPr>
            <w:rStyle w:val="Hyperlink"/>
            <w:noProof/>
          </w:rPr>
          <w:t>3.2</w:t>
        </w:r>
        <w:r w:rsidR="004757A5">
          <w:rPr>
            <w:rFonts w:eastAsiaTheme="minorEastAsia" w:cstheme="minorBidi"/>
            <w:smallCaps w:val="0"/>
            <w:noProof/>
            <w:sz w:val="22"/>
            <w:szCs w:val="22"/>
            <w:lang w:val="en-GB" w:eastAsia="en-GB" w:bidi="ar-SA"/>
          </w:rPr>
          <w:tab/>
        </w:r>
        <w:r w:rsidR="004757A5" w:rsidRPr="00D855B6">
          <w:rPr>
            <w:rStyle w:val="Hyperlink"/>
            <w:noProof/>
          </w:rPr>
          <w:t>Risk Management options</w:t>
        </w:r>
        <w:r w:rsidR="004757A5">
          <w:rPr>
            <w:noProof/>
            <w:webHidden/>
          </w:rPr>
          <w:tab/>
        </w:r>
        <w:r w:rsidR="004757A5">
          <w:rPr>
            <w:noProof/>
            <w:webHidden/>
          </w:rPr>
          <w:fldChar w:fldCharType="begin"/>
        </w:r>
        <w:r w:rsidR="004757A5">
          <w:rPr>
            <w:noProof/>
            <w:webHidden/>
          </w:rPr>
          <w:instrText xml:space="preserve"> PAGEREF _Toc70002641 \h </w:instrText>
        </w:r>
        <w:r w:rsidR="004757A5">
          <w:rPr>
            <w:noProof/>
            <w:webHidden/>
          </w:rPr>
        </w:r>
        <w:r w:rsidR="004757A5">
          <w:rPr>
            <w:noProof/>
            <w:webHidden/>
          </w:rPr>
          <w:fldChar w:fldCharType="separate"/>
        </w:r>
        <w:r w:rsidR="004757A5">
          <w:rPr>
            <w:noProof/>
            <w:webHidden/>
          </w:rPr>
          <w:t>12</w:t>
        </w:r>
        <w:r w:rsidR="004757A5">
          <w:rPr>
            <w:noProof/>
            <w:webHidden/>
          </w:rPr>
          <w:fldChar w:fldCharType="end"/>
        </w:r>
      </w:hyperlink>
    </w:p>
    <w:p w14:paraId="6921BAC7" w14:textId="30E72997" w:rsidR="004757A5" w:rsidRDefault="009319F9">
      <w:pPr>
        <w:pStyle w:val="TOC2"/>
        <w:tabs>
          <w:tab w:val="left" w:pos="880"/>
          <w:tab w:val="right" w:leader="dot" w:pos="9060"/>
        </w:tabs>
        <w:rPr>
          <w:rFonts w:eastAsiaTheme="minorEastAsia" w:cstheme="minorBidi"/>
          <w:smallCaps w:val="0"/>
          <w:noProof/>
          <w:sz w:val="22"/>
          <w:szCs w:val="22"/>
          <w:lang w:val="en-GB" w:eastAsia="en-GB" w:bidi="ar-SA"/>
        </w:rPr>
      </w:pPr>
      <w:hyperlink w:anchor="_Toc70002642" w:history="1">
        <w:r w:rsidR="004757A5" w:rsidRPr="00D855B6">
          <w:rPr>
            <w:rStyle w:val="Hyperlink"/>
            <w:noProof/>
          </w:rPr>
          <w:t>3.4</w:t>
        </w:r>
        <w:r w:rsidR="004757A5">
          <w:rPr>
            <w:rFonts w:eastAsiaTheme="minorEastAsia" w:cstheme="minorBidi"/>
            <w:smallCaps w:val="0"/>
            <w:noProof/>
            <w:sz w:val="22"/>
            <w:szCs w:val="22"/>
            <w:lang w:val="en-GB" w:eastAsia="en-GB" w:bidi="ar-SA"/>
          </w:rPr>
          <w:tab/>
        </w:r>
        <w:r w:rsidR="004757A5" w:rsidRPr="00D855B6">
          <w:rPr>
            <w:rStyle w:val="Hyperlink"/>
            <w:noProof/>
          </w:rPr>
          <w:t>Updating the AOAC Official Methods of Analysis edition in the Code</w:t>
        </w:r>
        <w:r w:rsidR="004757A5">
          <w:rPr>
            <w:noProof/>
            <w:webHidden/>
          </w:rPr>
          <w:tab/>
        </w:r>
        <w:r w:rsidR="004757A5">
          <w:rPr>
            <w:noProof/>
            <w:webHidden/>
          </w:rPr>
          <w:fldChar w:fldCharType="begin"/>
        </w:r>
        <w:r w:rsidR="004757A5">
          <w:rPr>
            <w:noProof/>
            <w:webHidden/>
          </w:rPr>
          <w:instrText xml:space="preserve"> PAGEREF _Toc70002642 \h </w:instrText>
        </w:r>
        <w:r w:rsidR="004757A5">
          <w:rPr>
            <w:noProof/>
            <w:webHidden/>
          </w:rPr>
        </w:r>
        <w:r w:rsidR="004757A5">
          <w:rPr>
            <w:noProof/>
            <w:webHidden/>
          </w:rPr>
          <w:fldChar w:fldCharType="separate"/>
        </w:r>
        <w:r w:rsidR="004757A5">
          <w:rPr>
            <w:noProof/>
            <w:webHidden/>
          </w:rPr>
          <w:t>15</w:t>
        </w:r>
        <w:r w:rsidR="004757A5">
          <w:rPr>
            <w:noProof/>
            <w:webHidden/>
          </w:rPr>
          <w:fldChar w:fldCharType="end"/>
        </w:r>
      </w:hyperlink>
    </w:p>
    <w:p w14:paraId="4E075D74" w14:textId="5D748A29" w:rsidR="004757A5" w:rsidRDefault="009319F9">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70002643" w:history="1">
        <w:r w:rsidR="004757A5" w:rsidRPr="00D855B6">
          <w:rPr>
            <w:rStyle w:val="Hyperlink"/>
            <w:noProof/>
          </w:rPr>
          <w:t>4</w:t>
        </w:r>
        <w:r w:rsidR="004757A5">
          <w:rPr>
            <w:rFonts w:eastAsiaTheme="minorEastAsia" w:cstheme="minorBidi"/>
            <w:b w:val="0"/>
            <w:bCs w:val="0"/>
            <w:caps w:val="0"/>
            <w:noProof/>
            <w:sz w:val="22"/>
            <w:szCs w:val="22"/>
            <w:lang w:val="en-GB" w:eastAsia="en-GB" w:bidi="ar-SA"/>
          </w:rPr>
          <w:tab/>
        </w:r>
        <w:r w:rsidR="004757A5" w:rsidRPr="00D855B6">
          <w:rPr>
            <w:rStyle w:val="Hyperlink"/>
            <w:noProof/>
          </w:rPr>
          <w:t>Risk communication</w:t>
        </w:r>
        <w:r w:rsidR="004757A5">
          <w:rPr>
            <w:noProof/>
            <w:webHidden/>
          </w:rPr>
          <w:tab/>
        </w:r>
        <w:r w:rsidR="004757A5">
          <w:rPr>
            <w:noProof/>
            <w:webHidden/>
          </w:rPr>
          <w:fldChar w:fldCharType="begin"/>
        </w:r>
        <w:r w:rsidR="004757A5">
          <w:rPr>
            <w:noProof/>
            <w:webHidden/>
          </w:rPr>
          <w:instrText xml:space="preserve"> PAGEREF _Toc70002643 \h </w:instrText>
        </w:r>
        <w:r w:rsidR="004757A5">
          <w:rPr>
            <w:noProof/>
            <w:webHidden/>
          </w:rPr>
        </w:r>
        <w:r w:rsidR="004757A5">
          <w:rPr>
            <w:noProof/>
            <w:webHidden/>
          </w:rPr>
          <w:fldChar w:fldCharType="separate"/>
        </w:r>
        <w:r w:rsidR="004757A5">
          <w:rPr>
            <w:noProof/>
            <w:webHidden/>
          </w:rPr>
          <w:t>16</w:t>
        </w:r>
        <w:r w:rsidR="004757A5">
          <w:rPr>
            <w:noProof/>
            <w:webHidden/>
          </w:rPr>
          <w:fldChar w:fldCharType="end"/>
        </w:r>
      </w:hyperlink>
    </w:p>
    <w:p w14:paraId="0B98F9F8" w14:textId="31023648" w:rsidR="004757A5" w:rsidRDefault="009319F9">
      <w:pPr>
        <w:pStyle w:val="TOC2"/>
        <w:tabs>
          <w:tab w:val="left" w:pos="880"/>
          <w:tab w:val="right" w:leader="dot" w:pos="9060"/>
        </w:tabs>
        <w:rPr>
          <w:rFonts w:eastAsiaTheme="minorEastAsia" w:cstheme="minorBidi"/>
          <w:smallCaps w:val="0"/>
          <w:noProof/>
          <w:sz w:val="22"/>
          <w:szCs w:val="22"/>
          <w:lang w:val="en-GB" w:eastAsia="en-GB" w:bidi="ar-SA"/>
        </w:rPr>
      </w:pPr>
      <w:hyperlink w:anchor="_Toc70002644" w:history="1">
        <w:r w:rsidR="004757A5" w:rsidRPr="00D855B6">
          <w:rPr>
            <w:rStyle w:val="Hyperlink"/>
            <w:noProof/>
          </w:rPr>
          <w:t>4.1</w:t>
        </w:r>
        <w:r w:rsidR="004757A5">
          <w:rPr>
            <w:rFonts w:eastAsiaTheme="minorEastAsia" w:cstheme="minorBidi"/>
            <w:smallCaps w:val="0"/>
            <w:noProof/>
            <w:sz w:val="22"/>
            <w:szCs w:val="22"/>
            <w:lang w:val="en-GB" w:eastAsia="en-GB" w:bidi="ar-SA"/>
          </w:rPr>
          <w:tab/>
        </w:r>
        <w:r w:rsidR="004757A5" w:rsidRPr="00D855B6">
          <w:rPr>
            <w:rStyle w:val="Hyperlink"/>
            <w:noProof/>
          </w:rPr>
          <w:t>Consultation</w:t>
        </w:r>
        <w:r w:rsidR="004757A5">
          <w:rPr>
            <w:noProof/>
            <w:webHidden/>
          </w:rPr>
          <w:tab/>
        </w:r>
        <w:r w:rsidR="004757A5">
          <w:rPr>
            <w:noProof/>
            <w:webHidden/>
          </w:rPr>
          <w:fldChar w:fldCharType="begin"/>
        </w:r>
        <w:r w:rsidR="004757A5">
          <w:rPr>
            <w:noProof/>
            <w:webHidden/>
          </w:rPr>
          <w:instrText xml:space="preserve"> PAGEREF _Toc70002644 \h </w:instrText>
        </w:r>
        <w:r w:rsidR="004757A5">
          <w:rPr>
            <w:noProof/>
            <w:webHidden/>
          </w:rPr>
        </w:r>
        <w:r w:rsidR="004757A5">
          <w:rPr>
            <w:noProof/>
            <w:webHidden/>
          </w:rPr>
          <w:fldChar w:fldCharType="separate"/>
        </w:r>
        <w:r w:rsidR="004757A5">
          <w:rPr>
            <w:noProof/>
            <w:webHidden/>
          </w:rPr>
          <w:t>16</w:t>
        </w:r>
        <w:r w:rsidR="004757A5">
          <w:rPr>
            <w:noProof/>
            <w:webHidden/>
          </w:rPr>
          <w:fldChar w:fldCharType="end"/>
        </w:r>
      </w:hyperlink>
    </w:p>
    <w:p w14:paraId="06BA55DF" w14:textId="2EC628DE" w:rsidR="004757A5" w:rsidRDefault="009319F9">
      <w:pPr>
        <w:pStyle w:val="TOC2"/>
        <w:tabs>
          <w:tab w:val="left" w:pos="880"/>
          <w:tab w:val="right" w:leader="dot" w:pos="9060"/>
        </w:tabs>
        <w:rPr>
          <w:rFonts w:eastAsiaTheme="minorEastAsia" w:cstheme="minorBidi"/>
          <w:smallCaps w:val="0"/>
          <w:noProof/>
          <w:sz w:val="22"/>
          <w:szCs w:val="22"/>
          <w:lang w:val="en-GB" w:eastAsia="en-GB" w:bidi="ar-SA"/>
        </w:rPr>
      </w:pPr>
      <w:hyperlink w:anchor="_Toc70002645" w:history="1">
        <w:r w:rsidR="004757A5" w:rsidRPr="00D855B6">
          <w:rPr>
            <w:rStyle w:val="Hyperlink"/>
            <w:noProof/>
          </w:rPr>
          <w:t>4.2</w:t>
        </w:r>
        <w:r w:rsidR="004757A5">
          <w:rPr>
            <w:rFonts w:eastAsiaTheme="minorEastAsia" w:cstheme="minorBidi"/>
            <w:smallCaps w:val="0"/>
            <w:noProof/>
            <w:sz w:val="22"/>
            <w:szCs w:val="22"/>
            <w:lang w:val="en-GB" w:eastAsia="en-GB" w:bidi="ar-SA"/>
          </w:rPr>
          <w:tab/>
        </w:r>
        <w:r w:rsidR="004757A5" w:rsidRPr="00D855B6">
          <w:rPr>
            <w:rStyle w:val="Hyperlink"/>
            <w:noProof/>
          </w:rPr>
          <w:t>World Trade Organization (WTO)</w:t>
        </w:r>
        <w:r w:rsidR="004757A5">
          <w:rPr>
            <w:noProof/>
            <w:webHidden/>
          </w:rPr>
          <w:tab/>
        </w:r>
        <w:r w:rsidR="004757A5">
          <w:rPr>
            <w:noProof/>
            <w:webHidden/>
          </w:rPr>
          <w:fldChar w:fldCharType="begin"/>
        </w:r>
        <w:r w:rsidR="004757A5">
          <w:rPr>
            <w:noProof/>
            <w:webHidden/>
          </w:rPr>
          <w:instrText xml:space="preserve"> PAGEREF _Toc70002645 \h </w:instrText>
        </w:r>
        <w:r w:rsidR="004757A5">
          <w:rPr>
            <w:noProof/>
            <w:webHidden/>
          </w:rPr>
        </w:r>
        <w:r w:rsidR="004757A5">
          <w:rPr>
            <w:noProof/>
            <w:webHidden/>
          </w:rPr>
          <w:fldChar w:fldCharType="separate"/>
        </w:r>
        <w:r w:rsidR="004757A5">
          <w:rPr>
            <w:noProof/>
            <w:webHidden/>
          </w:rPr>
          <w:t>16</w:t>
        </w:r>
        <w:r w:rsidR="004757A5">
          <w:rPr>
            <w:noProof/>
            <w:webHidden/>
          </w:rPr>
          <w:fldChar w:fldCharType="end"/>
        </w:r>
      </w:hyperlink>
    </w:p>
    <w:p w14:paraId="357CF706" w14:textId="7E6D87B8" w:rsidR="004757A5" w:rsidRDefault="009319F9">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70002646" w:history="1">
        <w:r w:rsidR="004757A5" w:rsidRPr="00D855B6">
          <w:rPr>
            <w:rStyle w:val="Hyperlink"/>
            <w:noProof/>
          </w:rPr>
          <w:t>5</w:t>
        </w:r>
        <w:r w:rsidR="004757A5">
          <w:rPr>
            <w:rFonts w:eastAsiaTheme="minorEastAsia" w:cstheme="minorBidi"/>
            <w:b w:val="0"/>
            <w:bCs w:val="0"/>
            <w:caps w:val="0"/>
            <w:noProof/>
            <w:sz w:val="22"/>
            <w:szCs w:val="22"/>
            <w:lang w:val="en-GB" w:eastAsia="en-GB" w:bidi="ar-SA"/>
          </w:rPr>
          <w:tab/>
        </w:r>
        <w:r w:rsidR="004757A5" w:rsidRPr="00D855B6">
          <w:rPr>
            <w:rStyle w:val="Hyperlink"/>
            <w:noProof/>
          </w:rPr>
          <w:t>FSANZ Act assessment requirements</w:t>
        </w:r>
        <w:r w:rsidR="004757A5">
          <w:rPr>
            <w:noProof/>
            <w:webHidden/>
          </w:rPr>
          <w:tab/>
        </w:r>
        <w:r w:rsidR="004757A5">
          <w:rPr>
            <w:noProof/>
            <w:webHidden/>
          </w:rPr>
          <w:fldChar w:fldCharType="begin"/>
        </w:r>
        <w:r w:rsidR="004757A5">
          <w:rPr>
            <w:noProof/>
            <w:webHidden/>
          </w:rPr>
          <w:instrText xml:space="preserve"> PAGEREF _Toc70002646 \h </w:instrText>
        </w:r>
        <w:r w:rsidR="004757A5">
          <w:rPr>
            <w:noProof/>
            <w:webHidden/>
          </w:rPr>
        </w:r>
        <w:r w:rsidR="004757A5">
          <w:rPr>
            <w:noProof/>
            <w:webHidden/>
          </w:rPr>
          <w:fldChar w:fldCharType="separate"/>
        </w:r>
        <w:r w:rsidR="004757A5">
          <w:rPr>
            <w:noProof/>
            <w:webHidden/>
          </w:rPr>
          <w:t>17</w:t>
        </w:r>
        <w:r w:rsidR="004757A5">
          <w:rPr>
            <w:noProof/>
            <w:webHidden/>
          </w:rPr>
          <w:fldChar w:fldCharType="end"/>
        </w:r>
      </w:hyperlink>
    </w:p>
    <w:p w14:paraId="161D5EB3" w14:textId="67654619" w:rsidR="004757A5" w:rsidRDefault="009319F9">
      <w:pPr>
        <w:pStyle w:val="TOC2"/>
        <w:tabs>
          <w:tab w:val="left" w:pos="880"/>
          <w:tab w:val="right" w:leader="dot" w:pos="9060"/>
        </w:tabs>
        <w:rPr>
          <w:rFonts w:eastAsiaTheme="minorEastAsia" w:cstheme="minorBidi"/>
          <w:smallCaps w:val="0"/>
          <w:noProof/>
          <w:sz w:val="22"/>
          <w:szCs w:val="22"/>
          <w:lang w:val="en-GB" w:eastAsia="en-GB" w:bidi="ar-SA"/>
        </w:rPr>
      </w:pPr>
      <w:hyperlink w:anchor="_Toc70002647" w:history="1">
        <w:r w:rsidR="004757A5" w:rsidRPr="00D855B6">
          <w:rPr>
            <w:rStyle w:val="Hyperlink"/>
            <w:noProof/>
          </w:rPr>
          <w:t>5.1</w:t>
        </w:r>
        <w:r w:rsidR="004757A5">
          <w:rPr>
            <w:rFonts w:eastAsiaTheme="minorEastAsia" w:cstheme="minorBidi"/>
            <w:smallCaps w:val="0"/>
            <w:noProof/>
            <w:sz w:val="22"/>
            <w:szCs w:val="22"/>
            <w:lang w:val="en-GB" w:eastAsia="en-GB" w:bidi="ar-SA"/>
          </w:rPr>
          <w:tab/>
        </w:r>
        <w:r w:rsidR="004757A5" w:rsidRPr="00D855B6">
          <w:rPr>
            <w:rStyle w:val="Hyperlink"/>
            <w:noProof/>
          </w:rPr>
          <w:t>Section 29</w:t>
        </w:r>
        <w:r w:rsidR="004757A5">
          <w:rPr>
            <w:noProof/>
            <w:webHidden/>
          </w:rPr>
          <w:tab/>
        </w:r>
        <w:r w:rsidR="004757A5">
          <w:rPr>
            <w:noProof/>
            <w:webHidden/>
          </w:rPr>
          <w:fldChar w:fldCharType="begin"/>
        </w:r>
        <w:r w:rsidR="004757A5">
          <w:rPr>
            <w:noProof/>
            <w:webHidden/>
          </w:rPr>
          <w:instrText xml:space="preserve"> PAGEREF _Toc70002647 \h </w:instrText>
        </w:r>
        <w:r w:rsidR="004757A5">
          <w:rPr>
            <w:noProof/>
            <w:webHidden/>
          </w:rPr>
        </w:r>
        <w:r w:rsidR="004757A5">
          <w:rPr>
            <w:noProof/>
            <w:webHidden/>
          </w:rPr>
          <w:fldChar w:fldCharType="separate"/>
        </w:r>
        <w:r w:rsidR="004757A5">
          <w:rPr>
            <w:noProof/>
            <w:webHidden/>
          </w:rPr>
          <w:t>17</w:t>
        </w:r>
        <w:r w:rsidR="004757A5">
          <w:rPr>
            <w:noProof/>
            <w:webHidden/>
          </w:rPr>
          <w:fldChar w:fldCharType="end"/>
        </w:r>
      </w:hyperlink>
    </w:p>
    <w:p w14:paraId="7FC6B15F" w14:textId="00FBD9E9" w:rsidR="004757A5" w:rsidRDefault="009319F9">
      <w:pPr>
        <w:pStyle w:val="TOC3"/>
        <w:tabs>
          <w:tab w:val="left" w:pos="1100"/>
          <w:tab w:val="right" w:leader="dot" w:pos="9060"/>
        </w:tabs>
        <w:rPr>
          <w:rFonts w:eastAsiaTheme="minorEastAsia" w:cstheme="minorBidi"/>
          <w:i w:val="0"/>
          <w:iCs w:val="0"/>
          <w:noProof/>
          <w:sz w:val="22"/>
          <w:szCs w:val="22"/>
          <w:lang w:val="en-GB" w:eastAsia="en-GB" w:bidi="ar-SA"/>
        </w:rPr>
      </w:pPr>
      <w:hyperlink w:anchor="_Toc70002648" w:history="1">
        <w:r w:rsidR="004757A5" w:rsidRPr="00D855B6">
          <w:rPr>
            <w:rStyle w:val="Hyperlink"/>
            <w:noProof/>
          </w:rPr>
          <w:t>5.1.1</w:t>
        </w:r>
        <w:r w:rsidR="004757A5">
          <w:rPr>
            <w:rFonts w:eastAsiaTheme="minorEastAsia" w:cstheme="minorBidi"/>
            <w:i w:val="0"/>
            <w:iCs w:val="0"/>
            <w:noProof/>
            <w:sz w:val="22"/>
            <w:szCs w:val="22"/>
            <w:lang w:val="en-GB" w:eastAsia="en-GB" w:bidi="ar-SA"/>
          </w:rPr>
          <w:tab/>
        </w:r>
        <w:r w:rsidR="004757A5" w:rsidRPr="00D855B6">
          <w:rPr>
            <w:rStyle w:val="Hyperlink"/>
            <w:noProof/>
          </w:rPr>
          <w:t>Consideration of costs and benefits</w:t>
        </w:r>
        <w:r w:rsidR="004757A5">
          <w:rPr>
            <w:noProof/>
            <w:webHidden/>
          </w:rPr>
          <w:tab/>
        </w:r>
        <w:r w:rsidR="004757A5">
          <w:rPr>
            <w:noProof/>
            <w:webHidden/>
          </w:rPr>
          <w:fldChar w:fldCharType="begin"/>
        </w:r>
        <w:r w:rsidR="004757A5">
          <w:rPr>
            <w:noProof/>
            <w:webHidden/>
          </w:rPr>
          <w:instrText xml:space="preserve"> PAGEREF _Toc70002648 \h </w:instrText>
        </w:r>
        <w:r w:rsidR="004757A5">
          <w:rPr>
            <w:noProof/>
            <w:webHidden/>
          </w:rPr>
        </w:r>
        <w:r w:rsidR="004757A5">
          <w:rPr>
            <w:noProof/>
            <w:webHidden/>
          </w:rPr>
          <w:fldChar w:fldCharType="separate"/>
        </w:r>
        <w:r w:rsidR="004757A5">
          <w:rPr>
            <w:noProof/>
            <w:webHidden/>
          </w:rPr>
          <w:t>17</w:t>
        </w:r>
        <w:r w:rsidR="004757A5">
          <w:rPr>
            <w:noProof/>
            <w:webHidden/>
          </w:rPr>
          <w:fldChar w:fldCharType="end"/>
        </w:r>
      </w:hyperlink>
    </w:p>
    <w:p w14:paraId="048F7A22" w14:textId="634A4EA8" w:rsidR="004757A5" w:rsidRDefault="009319F9">
      <w:pPr>
        <w:pStyle w:val="TOC3"/>
        <w:tabs>
          <w:tab w:val="left" w:pos="1100"/>
          <w:tab w:val="right" w:leader="dot" w:pos="9060"/>
        </w:tabs>
        <w:rPr>
          <w:rFonts w:eastAsiaTheme="minorEastAsia" w:cstheme="minorBidi"/>
          <w:i w:val="0"/>
          <w:iCs w:val="0"/>
          <w:noProof/>
          <w:sz w:val="22"/>
          <w:szCs w:val="22"/>
          <w:lang w:val="en-GB" w:eastAsia="en-GB" w:bidi="ar-SA"/>
        </w:rPr>
      </w:pPr>
      <w:hyperlink w:anchor="_Toc70002649" w:history="1">
        <w:r w:rsidR="004757A5" w:rsidRPr="00D855B6">
          <w:rPr>
            <w:rStyle w:val="Hyperlink"/>
            <w:noProof/>
          </w:rPr>
          <w:t>5.1.2</w:t>
        </w:r>
        <w:r w:rsidR="004757A5">
          <w:rPr>
            <w:rFonts w:eastAsiaTheme="minorEastAsia" w:cstheme="minorBidi"/>
            <w:i w:val="0"/>
            <w:iCs w:val="0"/>
            <w:noProof/>
            <w:sz w:val="22"/>
            <w:szCs w:val="22"/>
            <w:lang w:val="en-GB" w:eastAsia="en-GB" w:bidi="ar-SA"/>
          </w:rPr>
          <w:tab/>
        </w:r>
        <w:r w:rsidR="004757A5" w:rsidRPr="00D855B6">
          <w:rPr>
            <w:rStyle w:val="Hyperlink"/>
            <w:noProof/>
          </w:rPr>
          <w:t>Other measures</w:t>
        </w:r>
        <w:r w:rsidR="004757A5">
          <w:rPr>
            <w:noProof/>
            <w:webHidden/>
          </w:rPr>
          <w:tab/>
        </w:r>
        <w:r w:rsidR="004757A5">
          <w:rPr>
            <w:noProof/>
            <w:webHidden/>
          </w:rPr>
          <w:fldChar w:fldCharType="begin"/>
        </w:r>
        <w:r w:rsidR="004757A5">
          <w:rPr>
            <w:noProof/>
            <w:webHidden/>
          </w:rPr>
          <w:instrText xml:space="preserve"> PAGEREF _Toc70002649 \h </w:instrText>
        </w:r>
        <w:r w:rsidR="004757A5">
          <w:rPr>
            <w:noProof/>
            <w:webHidden/>
          </w:rPr>
        </w:r>
        <w:r w:rsidR="004757A5">
          <w:rPr>
            <w:noProof/>
            <w:webHidden/>
          </w:rPr>
          <w:fldChar w:fldCharType="separate"/>
        </w:r>
        <w:r w:rsidR="004757A5">
          <w:rPr>
            <w:noProof/>
            <w:webHidden/>
          </w:rPr>
          <w:t>18</w:t>
        </w:r>
        <w:r w:rsidR="004757A5">
          <w:rPr>
            <w:noProof/>
            <w:webHidden/>
          </w:rPr>
          <w:fldChar w:fldCharType="end"/>
        </w:r>
      </w:hyperlink>
    </w:p>
    <w:p w14:paraId="0F4D1E21" w14:textId="546AAA22" w:rsidR="004757A5" w:rsidRDefault="009319F9">
      <w:pPr>
        <w:pStyle w:val="TOC3"/>
        <w:tabs>
          <w:tab w:val="left" w:pos="1100"/>
          <w:tab w:val="right" w:leader="dot" w:pos="9060"/>
        </w:tabs>
        <w:rPr>
          <w:rFonts w:eastAsiaTheme="minorEastAsia" w:cstheme="minorBidi"/>
          <w:i w:val="0"/>
          <w:iCs w:val="0"/>
          <w:noProof/>
          <w:sz w:val="22"/>
          <w:szCs w:val="22"/>
          <w:lang w:val="en-GB" w:eastAsia="en-GB" w:bidi="ar-SA"/>
        </w:rPr>
      </w:pPr>
      <w:hyperlink w:anchor="_Toc70002650" w:history="1">
        <w:r w:rsidR="004757A5" w:rsidRPr="00D855B6">
          <w:rPr>
            <w:rStyle w:val="Hyperlink"/>
            <w:noProof/>
          </w:rPr>
          <w:t>5.1.3</w:t>
        </w:r>
        <w:r w:rsidR="004757A5">
          <w:rPr>
            <w:rFonts w:eastAsiaTheme="minorEastAsia" w:cstheme="minorBidi"/>
            <w:i w:val="0"/>
            <w:iCs w:val="0"/>
            <w:noProof/>
            <w:sz w:val="22"/>
            <w:szCs w:val="22"/>
            <w:lang w:val="en-GB" w:eastAsia="en-GB" w:bidi="ar-SA"/>
          </w:rPr>
          <w:tab/>
        </w:r>
        <w:r w:rsidR="004757A5" w:rsidRPr="00D855B6">
          <w:rPr>
            <w:rStyle w:val="Hyperlink"/>
            <w:noProof/>
          </w:rPr>
          <w:t>Any relevant New Zealand standards</w:t>
        </w:r>
        <w:r w:rsidR="004757A5">
          <w:rPr>
            <w:noProof/>
            <w:webHidden/>
          </w:rPr>
          <w:tab/>
        </w:r>
        <w:r w:rsidR="004757A5">
          <w:rPr>
            <w:noProof/>
            <w:webHidden/>
          </w:rPr>
          <w:fldChar w:fldCharType="begin"/>
        </w:r>
        <w:r w:rsidR="004757A5">
          <w:rPr>
            <w:noProof/>
            <w:webHidden/>
          </w:rPr>
          <w:instrText xml:space="preserve"> PAGEREF _Toc70002650 \h </w:instrText>
        </w:r>
        <w:r w:rsidR="004757A5">
          <w:rPr>
            <w:noProof/>
            <w:webHidden/>
          </w:rPr>
        </w:r>
        <w:r w:rsidR="004757A5">
          <w:rPr>
            <w:noProof/>
            <w:webHidden/>
          </w:rPr>
          <w:fldChar w:fldCharType="separate"/>
        </w:r>
        <w:r w:rsidR="004757A5">
          <w:rPr>
            <w:noProof/>
            <w:webHidden/>
          </w:rPr>
          <w:t>19</w:t>
        </w:r>
        <w:r w:rsidR="004757A5">
          <w:rPr>
            <w:noProof/>
            <w:webHidden/>
          </w:rPr>
          <w:fldChar w:fldCharType="end"/>
        </w:r>
      </w:hyperlink>
    </w:p>
    <w:p w14:paraId="1C899F2C" w14:textId="71F963C6" w:rsidR="004757A5" w:rsidRDefault="009319F9">
      <w:pPr>
        <w:pStyle w:val="TOC3"/>
        <w:tabs>
          <w:tab w:val="left" w:pos="1100"/>
          <w:tab w:val="right" w:leader="dot" w:pos="9060"/>
        </w:tabs>
        <w:rPr>
          <w:rFonts w:eastAsiaTheme="minorEastAsia" w:cstheme="minorBidi"/>
          <w:i w:val="0"/>
          <w:iCs w:val="0"/>
          <w:noProof/>
          <w:sz w:val="22"/>
          <w:szCs w:val="22"/>
          <w:lang w:val="en-GB" w:eastAsia="en-GB" w:bidi="ar-SA"/>
        </w:rPr>
      </w:pPr>
      <w:hyperlink w:anchor="_Toc70002651" w:history="1">
        <w:r w:rsidR="004757A5" w:rsidRPr="00D855B6">
          <w:rPr>
            <w:rStyle w:val="Hyperlink"/>
            <w:noProof/>
          </w:rPr>
          <w:t>5.1.4</w:t>
        </w:r>
        <w:r w:rsidR="004757A5">
          <w:rPr>
            <w:rFonts w:eastAsiaTheme="minorEastAsia" w:cstheme="minorBidi"/>
            <w:i w:val="0"/>
            <w:iCs w:val="0"/>
            <w:noProof/>
            <w:sz w:val="22"/>
            <w:szCs w:val="22"/>
            <w:lang w:val="en-GB" w:eastAsia="en-GB" w:bidi="ar-SA"/>
          </w:rPr>
          <w:tab/>
        </w:r>
        <w:r w:rsidR="004757A5" w:rsidRPr="00D855B6">
          <w:rPr>
            <w:rStyle w:val="Hyperlink"/>
            <w:noProof/>
          </w:rPr>
          <w:t>Any other relevant matters</w:t>
        </w:r>
        <w:r w:rsidR="004757A5">
          <w:rPr>
            <w:noProof/>
            <w:webHidden/>
          </w:rPr>
          <w:tab/>
        </w:r>
        <w:r w:rsidR="004757A5">
          <w:rPr>
            <w:noProof/>
            <w:webHidden/>
          </w:rPr>
          <w:fldChar w:fldCharType="begin"/>
        </w:r>
        <w:r w:rsidR="004757A5">
          <w:rPr>
            <w:noProof/>
            <w:webHidden/>
          </w:rPr>
          <w:instrText xml:space="preserve"> PAGEREF _Toc70002651 \h </w:instrText>
        </w:r>
        <w:r w:rsidR="004757A5">
          <w:rPr>
            <w:noProof/>
            <w:webHidden/>
          </w:rPr>
        </w:r>
        <w:r w:rsidR="004757A5">
          <w:rPr>
            <w:noProof/>
            <w:webHidden/>
          </w:rPr>
          <w:fldChar w:fldCharType="separate"/>
        </w:r>
        <w:r w:rsidR="004757A5">
          <w:rPr>
            <w:noProof/>
            <w:webHidden/>
          </w:rPr>
          <w:t>19</w:t>
        </w:r>
        <w:r w:rsidR="004757A5">
          <w:rPr>
            <w:noProof/>
            <w:webHidden/>
          </w:rPr>
          <w:fldChar w:fldCharType="end"/>
        </w:r>
      </w:hyperlink>
    </w:p>
    <w:p w14:paraId="66AC23E3" w14:textId="306D73AE" w:rsidR="004757A5" w:rsidRDefault="009319F9">
      <w:pPr>
        <w:pStyle w:val="TOC2"/>
        <w:tabs>
          <w:tab w:val="left" w:pos="880"/>
          <w:tab w:val="right" w:leader="dot" w:pos="9060"/>
        </w:tabs>
        <w:rPr>
          <w:rFonts w:eastAsiaTheme="minorEastAsia" w:cstheme="minorBidi"/>
          <w:smallCaps w:val="0"/>
          <w:noProof/>
          <w:sz w:val="22"/>
          <w:szCs w:val="22"/>
          <w:lang w:val="en-GB" w:eastAsia="en-GB" w:bidi="ar-SA"/>
        </w:rPr>
      </w:pPr>
      <w:hyperlink w:anchor="_Toc70002652" w:history="1">
        <w:r w:rsidR="004757A5" w:rsidRPr="00D855B6">
          <w:rPr>
            <w:rStyle w:val="Hyperlink"/>
            <w:noProof/>
          </w:rPr>
          <w:t>5.2</w:t>
        </w:r>
        <w:r w:rsidR="004757A5">
          <w:rPr>
            <w:rFonts w:eastAsiaTheme="minorEastAsia" w:cstheme="minorBidi"/>
            <w:smallCaps w:val="0"/>
            <w:noProof/>
            <w:sz w:val="22"/>
            <w:szCs w:val="22"/>
            <w:lang w:val="en-GB" w:eastAsia="en-GB" w:bidi="ar-SA"/>
          </w:rPr>
          <w:tab/>
        </w:r>
        <w:r w:rsidR="004757A5" w:rsidRPr="00D855B6">
          <w:rPr>
            <w:rStyle w:val="Hyperlink"/>
            <w:noProof/>
          </w:rPr>
          <w:t>Subsection 18(1)</w:t>
        </w:r>
        <w:r w:rsidR="004757A5">
          <w:rPr>
            <w:noProof/>
            <w:webHidden/>
          </w:rPr>
          <w:tab/>
        </w:r>
        <w:r w:rsidR="004757A5">
          <w:rPr>
            <w:noProof/>
            <w:webHidden/>
          </w:rPr>
          <w:fldChar w:fldCharType="begin"/>
        </w:r>
        <w:r w:rsidR="004757A5">
          <w:rPr>
            <w:noProof/>
            <w:webHidden/>
          </w:rPr>
          <w:instrText xml:space="preserve"> PAGEREF _Toc70002652 \h </w:instrText>
        </w:r>
        <w:r w:rsidR="004757A5">
          <w:rPr>
            <w:noProof/>
            <w:webHidden/>
          </w:rPr>
        </w:r>
        <w:r w:rsidR="004757A5">
          <w:rPr>
            <w:noProof/>
            <w:webHidden/>
          </w:rPr>
          <w:fldChar w:fldCharType="separate"/>
        </w:r>
        <w:r w:rsidR="004757A5">
          <w:rPr>
            <w:noProof/>
            <w:webHidden/>
          </w:rPr>
          <w:t>19</w:t>
        </w:r>
        <w:r w:rsidR="004757A5">
          <w:rPr>
            <w:noProof/>
            <w:webHidden/>
          </w:rPr>
          <w:fldChar w:fldCharType="end"/>
        </w:r>
      </w:hyperlink>
    </w:p>
    <w:p w14:paraId="74E9B18D" w14:textId="045E6C25" w:rsidR="004757A5" w:rsidRDefault="009319F9">
      <w:pPr>
        <w:pStyle w:val="TOC3"/>
        <w:tabs>
          <w:tab w:val="left" w:pos="1100"/>
          <w:tab w:val="right" w:leader="dot" w:pos="9060"/>
        </w:tabs>
        <w:rPr>
          <w:rFonts w:eastAsiaTheme="minorEastAsia" w:cstheme="minorBidi"/>
          <w:i w:val="0"/>
          <w:iCs w:val="0"/>
          <w:noProof/>
          <w:sz w:val="22"/>
          <w:szCs w:val="22"/>
          <w:lang w:val="en-GB" w:eastAsia="en-GB" w:bidi="ar-SA"/>
        </w:rPr>
      </w:pPr>
      <w:hyperlink w:anchor="_Toc70002653" w:history="1">
        <w:r w:rsidR="004757A5" w:rsidRPr="00D855B6">
          <w:rPr>
            <w:rStyle w:val="Hyperlink"/>
            <w:noProof/>
          </w:rPr>
          <w:t>5.2.1</w:t>
        </w:r>
        <w:r w:rsidR="004757A5">
          <w:rPr>
            <w:rFonts w:eastAsiaTheme="minorEastAsia" w:cstheme="minorBidi"/>
            <w:i w:val="0"/>
            <w:iCs w:val="0"/>
            <w:noProof/>
            <w:sz w:val="22"/>
            <w:szCs w:val="22"/>
            <w:lang w:val="en-GB" w:eastAsia="en-GB" w:bidi="ar-SA"/>
          </w:rPr>
          <w:tab/>
        </w:r>
        <w:r w:rsidR="004757A5" w:rsidRPr="00D855B6">
          <w:rPr>
            <w:rStyle w:val="Hyperlink"/>
            <w:noProof/>
          </w:rPr>
          <w:t>Protection of public health and safety</w:t>
        </w:r>
        <w:r w:rsidR="004757A5">
          <w:rPr>
            <w:noProof/>
            <w:webHidden/>
          </w:rPr>
          <w:tab/>
        </w:r>
        <w:r w:rsidR="004757A5">
          <w:rPr>
            <w:noProof/>
            <w:webHidden/>
          </w:rPr>
          <w:fldChar w:fldCharType="begin"/>
        </w:r>
        <w:r w:rsidR="004757A5">
          <w:rPr>
            <w:noProof/>
            <w:webHidden/>
          </w:rPr>
          <w:instrText xml:space="preserve"> PAGEREF _Toc70002653 \h </w:instrText>
        </w:r>
        <w:r w:rsidR="004757A5">
          <w:rPr>
            <w:noProof/>
            <w:webHidden/>
          </w:rPr>
        </w:r>
        <w:r w:rsidR="004757A5">
          <w:rPr>
            <w:noProof/>
            <w:webHidden/>
          </w:rPr>
          <w:fldChar w:fldCharType="separate"/>
        </w:r>
        <w:r w:rsidR="004757A5">
          <w:rPr>
            <w:noProof/>
            <w:webHidden/>
          </w:rPr>
          <w:t>19</w:t>
        </w:r>
        <w:r w:rsidR="004757A5">
          <w:rPr>
            <w:noProof/>
            <w:webHidden/>
          </w:rPr>
          <w:fldChar w:fldCharType="end"/>
        </w:r>
      </w:hyperlink>
    </w:p>
    <w:p w14:paraId="444D5241" w14:textId="4255E04E" w:rsidR="004757A5" w:rsidRDefault="009319F9">
      <w:pPr>
        <w:pStyle w:val="TOC3"/>
        <w:tabs>
          <w:tab w:val="left" w:pos="1100"/>
          <w:tab w:val="right" w:leader="dot" w:pos="9060"/>
        </w:tabs>
        <w:rPr>
          <w:rFonts w:eastAsiaTheme="minorEastAsia" w:cstheme="minorBidi"/>
          <w:i w:val="0"/>
          <w:iCs w:val="0"/>
          <w:noProof/>
          <w:sz w:val="22"/>
          <w:szCs w:val="22"/>
          <w:lang w:val="en-GB" w:eastAsia="en-GB" w:bidi="ar-SA"/>
        </w:rPr>
      </w:pPr>
      <w:hyperlink w:anchor="_Toc70002654" w:history="1">
        <w:r w:rsidR="004757A5" w:rsidRPr="00D855B6">
          <w:rPr>
            <w:rStyle w:val="Hyperlink"/>
            <w:noProof/>
          </w:rPr>
          <w:t>5.2.2</w:t>
        </w:r>
        <w:r w:rsidR="004757A5">
          <w:rPr>
            <w:rFonts w:eastAsiaTheme="minorEastAsia" w:cstheme="minorBidi"/>
            <w:i w:val="0"/>
            <w:iCs w:val="0"/>
            <w:noProof/>
            <w:sz w:val="22"/>
            <w:szCs w:val="22"/>
            <w:lang w:val="en-GB" w:eastAsia="en-GB" w:bidi="ar-SA"/>
          </w:rPr>
          <w:tab/>
        </w:r>
        <w:r w:rsidR="004757A5" w:rsidRPr="00D855B6">
          <w:rPr>
            <w:rStyle w:val="Hyperlink"/>
            <w:noProof/>
          </w:rPr>
          <w:t>The provision of adequate information relating to food to enable consumers to make informed choices</w:t>
        </w:r>
        <w:r w:rsidR="004757A5">
          <w:rPr>
            <w:noProof/>
            <w:webHidden/>
          </w:rPr>
          <w:tab/>
        </w:r>
        <w:r w:rsidR="004757A5">
          <w:rPr>
            <w:noProof/>
            <w:webHidden/>
          </w:rPr>
          <w:fldChar w:fldCharType="begin"/>
        </w:r>
        <w:r w:rsidR="004757A5">
          <w:rPr>
            <w:noProof/>
            <w:webHidden/>
          </w:rPr>
          <w:instrText xml:space="preserve"> PAGEREF _Toc70002654 \h </w:instrText>
        </w:r>
        <w:r w:rsidR="004757A5">
          <w:rPr>
            <w:noProof/>
            <w:webHidden/>
          </w:rPr>
        </w:r>
        <w:r w:rsidR="004757A5">
          <w:rPr>
            <w:noProof/>
            <w:webHidden/>
          </w:rPr>
          <w:fldChar w:fldCharType="separate"/>
        </w:r>
        <w:r w:rsidR="004757A5">
          <w:rPr>
            <w:noProof/>
            <w:webHidden/>
          </w:rPr>
          <w:t>19</w:t>
        </w:r>
        <w:r w:rsidR="004757A5">
          <w:rPr>
            <w:noProof/>
            <w:webHidden/>
          </w:rPr>
          <w:fldChar w:fldCharType="end"/>
        </w:r>
      </w:hyperlink>
    </w:p>
    <w:p w14:paraId="65594DF8" w14:textId="502A5794" w:rsidR="004757A5" w:rsidRDefault="009319F9">
      <w:pPr>
        <w:pStyle w:val="TOC3"/>
        <w:tabs>
          <w:tab w:val="left" w:pos="1100"/>
          <w:tab w:val="right" w:leader="dot" w:pos="9060"/>
        </w:tabs>
        <w:rPr>
          <w:rFonts w:eastAsiaTheme="minorEastAsia" w:cstheme="minorBidi"/>
          <w:i w:val="0"/>
          <w:iCs w:val="0"/>
          <w:noProof/>
          <w:sz w:val="22"/>
          <w:szCs w:val="22"/>
          <w:lang w:val="en-GB" w:eastAsia="en-GB" w:bidi="ar-SA"/>
        </w:rPr>
      </w:pPr>
      <w:hyperlink w:anchor="_Toc70002655" w:history="1">
        <w:r w:rsidR="004757A5" w:rsidRPr="00D855B6">
          <w:rPr>
            <w:rStyle w:val="Hyperlink"/>
            <w:noProof/>
          </w:rPr>
          <w:t>5.2.3</w:t>
        </w:r>
        <w:r w:rsidR="004757A5">
          <w:rPr>
            <w:rFonts w:eastAsiaTheme="minorEastAsia" w:cstheme="minorBidi"/>
            <w:i w:val="0"/>
            <w:iCs w:val="0"/>
            <w:noProof/>
            <w:sz w:val="22"/>
            <w:szCs w:val="22"/>
            <w:lang w:val="en-GB" w:eastAsia="en-GB" w:bidi="ar-SA"/>
          </w:rPr>
          <w:tab/>
        </w:r>
        <w:r w:rsidR="004757A5" w:rsidRPr="00D855B6">
          <w:rPr>
            <w:rStyle w:val="Hyperlink"/>
            <w:noProof/>
          </w:rPr>
          <w:t>The prevention of misleading or deceptive conduct</w:t>
        </w:r>
        <w:r w:rsidR="004757A5">
          <w:rPr>
            <w:noProof/>
            <w:webHidden/>
          </w:rPr>
          <w:tab/>
        </w:r>
        <w:r w:rsidR="004757A5">
          <w:rPr>
            <w:noProof/>
            <w:webHidden/>
          </w:rPr>
          <w:fldChar w:fldCharType="begin"/>
        </w:r>
        <w:r w:rsidR="004757A5">
          <w:rPr>
            <w:noProof/>
            <w:webHidden/>
          </w:rPr>
          <w:instrText xml:space="preserve"> PAGEREF _Toc70002655 \h </w:instrText>
        </w:r>
        <w:r w:rsidR="004757A5">
          <w:rPr>
            <w:noProof/>
            <w:webHidden/>
          </w:rPr>
        </w:r>
        <w:r w:rsidR="004757A5">
          <w:rPr>
            <w:noProof/>
            <w:webHidden/>
          </w:rPr>
          <w:fldChar w:fldCharType="separate"/>
        </w:r>
        <w:r w:rsidR="004757A5">
          <w:rPr>
            <w:noProof/>
            <w:webHidden/>
          </w:rPr>
          <w:t>19</w:t>
        </w:r>
        <w:r w:rsidR="004757A5">
          <w:rPr>
            <w:noProof/>
            <w:webHidden/>
          </w:rPr>
          <w:fldChar w:fldCharType="end"/>
        </w:r>
      </w:hyperlink>
    </w:p>
    <w:p w14:paraId="2E111270" w14:textId="2B5522F5" w:rsidR="004757A5" w:rsidRDefault="009319F9">
      <w:pPr>
        <w:pStyle w:val="TOC2"/>
        <w:tabs>
          <w:tab w:val="left" w:pos="1540"/>
          <w:tab w:val="right" w:leader="dot" w:pos="9060"/>
        </w:tabs>
        <w:rPr>
          <w:rFonts w:eastAsiaTheme="minorEastAsia" w:cstheme="minorBidi"/>
          <w:smallCaps w:val="0"/>
          <w:noProof/>
          <w:sz w:val="22"/>
          <w:szCs w:val="22"/>
          <w:lang w:val="en-GB" w:eastAsia="en-GB" w:bidi="ar-SA"/>
        </w:rPr>
      </w:pPr>
      <w:hyperlink w:anchor="_Toc70002656" w:history="1">
        <w:r w:rsidR="004757A5" w:rsidRPr="00D855B6">
          <w:rPr>
            <w:rStyle w:val="Hyperlink"/>
            <w:noProof/>
          </w:rPr>
          <w:t>totaltotal5.3</w:t>
        </w:r>
        <w:r w:rsidR="004757A5">
          <w:rPr>
            <w:rFonts w:eastAsiaTheme="minorEastAsia" w:cstheme="minorBidi"/>
            <w:smallCaps w:val="0"/>
            <w:noProof/>
            <w:sz w:val="22"/>
            <w:szCs w:val="22"/>
            <w:lang w:val="en-GB" w:eastAsia="en-GB" w:bidi="ar-SA"/>
          </w:rPr>
          <w:tab/>
        </w:r>
        <w:r w:rsidR="004757A5" w:rsidRPr="00D855B6">
          <w:rPr>
            <w:rStyle w:val="Hyperlink"/>
            <w:noProof/>
          </w:rPr>
          <w:t>Subsection 18(2) considerations</w:t>
        </w:r>
        <w:r w:rsidR="004757A5">
          <w:rPr>
            <w:noProof/>
            <w:webHidden/>
          </w:rPr>
          <w:tab/>
        </w:r>
        <w:r w:rsidR="004757A5">
          <w:rPr>
            <w:noProof/>
            <w:webHidden/>
          </w:rPr>
          <w:fldChar w:fldCharType="begin"/>
        </w:r>
        <w:r w:rsidR="004757A5">
          <w:rPr>
            <w:noProof/>
            <w:webHidden/>
          </w:rPr>
          <w:instrText xml:space="preserve"> PAGEREF _Toc70002656 \h </w:instrText>
        </w:r>
        <w:r w:rsidR="004757A5">
          <w:rPr>
            <w:noProof/>
            <w:webHidden/>
          </w:rPr>
        </w:r>
        <w:r w:rsidR="004757A5">
          <w:rPr>
            <w:noProof/>
            <w:webHidden/>
          </w:rPr>
          <w:fldChar w:fldCharType="separate"/>
        </w:r>
        <w:r w:rsidR="004757A5">
          <w:rPr>
            <w:noProof/>
            <w:webHidden/>
          </w:rPr>
          <w:t>19</w:t>
        </w:r>
        <w:r w:rsidR="004757A5">
          <w:rPr>
            <w:noProof/>
            <w:webHidden/>
          </w:rPr>
          <w:fldChar w:fldCharType="end"/>
        </w:r>
      </w:hyperlink>
    </w:p>
    <w:p w14:paraId="5FFD2961" w14:textId="62F66B22" w:rsidR="004757A5" w:rsidRDefault="009319F9">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70002657" w:history="1">
        <w:r w:rsidR="004757A5" w:rsidRPr="00D855B6">
          <w:rPr>
            <w:rStyle w:val="Hyperlink"/>
            <w:noProof/>
          </w:rPr>
          <w:t>6</w:t>
        </w:r>
        <w:r w:rsidR="004757A5">
          <w:rPr>
            <w:rFonts w:eastAsiaTheme="minorEastAsia" w:cstheme="minorBidi"/>
            <w:b w:val="0"/>
            <w:bCs w:val="0"/>
            <w:caps w:val="0"/>
            <w:noProof/>
            <w:sz w:val="22"/>
            <w:szCs w:val="22"/>
            <w:lang w:val="en-GB" w:eastAsia="en-GB" w:bidi="ar-SA"/>
          </w:rPr>
          <w:tab/>
        </w:r>
        <w:r w:rsidR="004757A5" w:rsidRPr="00D855B6">
          <w:rPr>
            <w:rStyle w:val="Hyperlink"/>
            <w:noProof/>
          </w:rPr>
          <w:t>Draft variation</w:t>
        </w:r>
        <w:r w:rsidR="004757A5">
          <w:rPr>
            <w:noProof/>
            <w:webHidden/>
          </w:rPr>
          <w:tab/>
        </w:r>
        <w:r w:rsidR="004757A5">
          <w:rPr>
            <w:noProof/>
            <w:webHidden/>
          </w:rPr>
          <w:fldChar w:fldCharType="begin"/>
        </w:r>
        <w:r w:rsidR="004757A5">
          <w:rPr>
            <w:noProof/>
            <w:webHidden/>
          </w:rPr>
          <w:instrText xml:space="preserve"> PAGEREF _Toc70002657 \h </w:instrText>
        </w:r>
        <w:r w:rsidR="004757A5">
          <w:rPr>
            <w:noProof/>
            <w:webHidden/>
          </w:rPr>
        </w:r>
        <w:r w:rsidR="004757A5">
          <w:rPr>
            <w:noProof/>
            <w:webHidden/>
          </w:rPr>
          <w:fldChar w:fldCharType="separate"/>
        </w:r>
        <w:r w:rsidR="004757A5">
          <w:rPr>
            <w:noProof/>
            <w:webHidden/>
          </w:rPr>
          <w:t>20</w:t>
        </w:r>
        <w:r w:rsidR="004757A5">
          <w:rPr>
            <w:noProof/>
            <w:webHidden/>
          </w:rPr>
          <w:fldChar w:fldCharType="end"/>
        </w:r>
      </w:hyperlink>
    </w:p>
    <w:p w14:paraId="0E294E26" w14:textId="14B18AE4" w:rsidR="004757A5" w:rsidRDefault="009319F9">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70002658" w:history="1">
        <w:r w:rsidR="004757A5" w:rsidRPr="00D855B6">
          <w:rPr>
            <w:rStyle w:val="Hyperlink"/>
            <w:noProof/>
          </w:rPr>
          <w:t>7</w:t>
        </w:r>
        <w:r w:rsidR="004757A5">
          <w:rPr>
            <w:rFonts w:eastAsiaTheme="minorEastAsia" w:cstheme="minorBidi"/>
            <w:b w:val="0"/>
            <w:bCs w:val="0"/>
            <w:caps w:val="0"/>
            <w:noProof/>
            <w:sz w:val="22"/>
            <w:szCs w:val="22"/>
            <w:lang w:val="en-GB" w:eastAsia="en-GB" w:bidi="ar-SA"/>
          </w:rPr>
          <w:tab/>
        </w:r>
        <w:r w:rsidR="004757A5" w:rsidRPr="00D855B6">
          <w:rPr>
            <w:rStyle w:val="Hyperlink"/>
            <w:noProof/>
          </w:rPr>
          <w:t>References</w:t>
        </w:r>
        <w:r w:rsidR="004757A5">
          <w:rPr>
            <w:noProof/>
            <w:webHidden/>
          </w:rPr>
          <w:tab/>
        </w:r>
        <w:r w:rsidR="004757A5">
          <w:rPr>
            <w:noProof/>
            <w:webHidden/>
          </w:rPr>
          <w:fldChar w:fldCharType="begin"/>
        </w:r>
        <w:r w:rsidR="004757A5">
          <w:rPr>
            <w:noProof/>
            <w:webHidden/>
          </w:rPr>
          <w:instrText xml:space="preserve"> PAGEREF _Toc70002658 \h </w:instrText>
        </w:r>
        <w:r w:rsidR="004757A5">
          <w:rPr>
            <w:noProof/>
            <w:webHidden/>
          </w:rPr>
        </w:r>
        <w:r w:rsidR="004757A5">
          <w:rPr>
            <w:noProof/>
            <w:webHidden/>
          </w:rPr>
          <w:fldChar w:fldCharType="separate"/>
        </w:r>
        <w:r w:rsidR="004757A5">
          <w:rPr>
            <w:noProof/>
            <w:webHidden/>
          </w:rPr>
          <w:t>20</w:t>
        </w:r>
        <w:r w:rsidR="004757A5">
          <w:rPr>
            <w:noProof/>
            <w:webHidden/>
          </w:rPr>
          <w:fldChar w:fldCharType="end"/>
        </w:r>
      </w:hyperlink>
    </w:p>
    <w:p w14:paraId="61A7CE76" w14:textId="487F8F29" w:rsidR="004757A5" w:rsidRDefault="009319F9">
      <w:pPr>
        <w:pStyle w:val="TOC1"/>
        <w:tabs>
          <w:tab w:val="right" w:leader="dot" w:pos="9060"/>
        </w:tabs>
        <w:rPr>
          <w:rFonts w:eastAsiaTheme="minorEastAsia" w:cstheme="minorBidi"/>
          <w:b w:val="0"/>
          <w:bCs w:val="0"/>
          <w:caps w:val="0"/>
          <w:noProof/>
          <w:sz w:val="22"/>
          <w:szCs w:val="22"/>
          <w:lang w:val="en-GB" w:eastAsia="en-GB" w:bidi="ar-SA"/>
        </w:rPr>
      </w:pPr>
      <w:hyperlink w:anchor="_Toc70002659" w:history="1">
        <w:r w:rsidR="004757A5" w:rsidRPr="00D855B6">
          <w:rPr>
            <w:rStyle w:val="Hyperlink"/>
            <w:noProof/>
          </w:rPr>
          <w:t>Attachment A – Draft variation to the Australia New Zealand Food Standards Code</w:t>
        </w:r>
        <w:r w:rsidR="004757A5">
          <w:rPr>
            <w:noProof/>
            <w:webHidden/>
          </w:rPr>
          <w:tab/>
        </w:r>
        <w:r w:rsidR="004757A5">
          <w:rPr>
            <w:noProof/>
            <w:webHidden/>
          </w:rPr>
          <w:fldChar w:fldCharType="begin"/>
        </w:r>
        <w:r w:rsidR="004757A5">
          <w:rPr>
            <w:noProof/>
            <w:webHidden/>
          </w:rPr>
          <w:instrText xml:space="preserve"> PAGEREF _Toc70002659 \h </w:instrText>
        </w:r>
        <w:r w:rsidR="004757A5">
          <w:rPr>
            <w:noProof/>
            <w:webHidden/>
          </w:rPr>
        </w:r>
        <w:r w:rsidR="004757A5">
          <w:rPr>
            <w:noProof/>
            <w:webHidden/>
          </w:rPr>
          <w:fldChar w:fldCharType="separate"/>
        </w:r>
        <w:r w:rsidR="004757A5">
          <w:rPr>
            <w:noProof/>
            <w:webHidden/>
          </w:rPr>
          <w:t>22</w:t>
        </w:r>
        <w:r w:rsidR="004757A5">
          <w:rPr>
            <w:noProof/>
            <w:webHidden/>
          </w:rPr>
          <w:fldChar w:fldCharType="end"/>
        </w:r>
      </w:hyperlink>
    </w:p>
    <w:p w14:paraId="7DA869B8" w14:textId="5441EF36" w:rsidR="004757A5" w:rsidRDefault="009319F9">
      <w:pPr>
        <w:pStyle w:val="TOC2"/>
        <w:tabs>
          <w:tab w:val="right" w:leader="dot" w:pos="9060"/>
        </w:tabs>
        <w:rPr>
          <w:rFonts w:eastAsiaTheme="minorEastAsia" w:cstheme="minorBidi"/>
          <w:smallCaps w:val="0"/>
          <w:noProof/>
          <w:sz w:val="22"/>
          <w:szCs w:val="22"/>
          <w:lang w:val="en-GB" w:eastAsia="en-GB" w:bidi="ar-SA"/>
        </w:rPr>
      </w:pPr>
      <w:hyperlink w:anchor="_Toc70002660" w:history="1">
        <w:r w:rsidR="004757A5" w:rsidRPr="00D855B6">
          <w:rPr>
            <w:rStyle w:val="Hyperlink"/>
            <w:noProof/>
            <w:lang w:val="en-US"/>
          </w:rPr>
          <w:t>A</w:t>
        </w:r>
        <w:r w:rsidR="004757A5" w:rsidRPr="00D855B6">
          <w:rPr>
            <w:rStyle w:val="Hyperlink"/>
            <w:noProof/>
          </w:rPr>
          <w:t>ttachment B – Draft Explanatory Statement</w:t>
        </w:r>
        <w:r w:rsidR="004757A5">
          <w:rPr>
            <w:noProof/>
            <w:webHidden/>
          </w:rPr>
          <w:tab/>
        </w:r>
        <w:r w:rsidR="004757A5">
          <w:rPr>
            <w:noProof/>
            <w:webHidden/>
          </w:rPr>
          <w:fldChar w:fldCharType="begin"/>
        </w:r>
        <w:r w:rsidR="004757A5">
          <w:rPr>
            <w:noProof/>
            <w:webHidden/>
          </w:rPr>
          <w:instrText xml:space="preserve"> PAGEREF _Toc70002660 \h </w:instrText>
        </w:r>
        <w:r w:rsidR="004757A5">
          <w:rPr>
            <w:noProof/>
            <w:webHidden/>
          </w:rPr>
        </w:r>
        <w:r w:rsidR="004757A5">
          <w:rPr>
            <w:noProof/>
            <w:webHidden/>
          </w:rPr>
          <w:fldChar w:fldCharType="separate"/>
        </w:r>
        <w:r w:rsidR="004757A5">
          <w:rPr>
            <w:noProof/>
            <w:webHidden/>
          </w:rPr>
          <w:t>24</w:t>
        </w:r>
        <w:r w:rsidR="004757A5">
          <w:rPr>
            <w:noProof/>
            <w:webHidden/>
          </w:rPr>
          <w:fldChar w:fldCharType="end"/>
        </w:r>
      </w:hyperlink>
    </w:p>
    <w:p w14:paraId="4D847EEB" w14:textId="2A571246" w:rsidR="002149FB" w:rsidRDefault="00CE56F5" w:rsidP="00482032">
      <w:pPr>
        <w:widowControl/>
        <w:rPr>
          <w:rFonts w:cs="Arial"/>
          <w:szCs w:val="22"/>
        </w:rPr>
      </w:pPr>
      <w:r w:rsidRPr="004D60AC">
        <w:rPr>
          <w:rFonts w:cs="Arial"/>
          <w:szCs w:val="22"/>
        </w:rPr>
        <w:fldChar w:fldCharType="end"/>
      </w:r>
      <w:r w:rsidR="002149FB">
        <w:rPr>
          <w:rFonts w:cs="Arial"/>
          <w:szCs w:val="22"/>
        </w:rPr>
        <w:br w:type="page"/>
      </w:r>
    </w:p>
    <w:p w14:paraId="22AE2EC1" w14:textId="67DE12CF" w:rsidR="00CE56F5" w:rsidRPr="004D60AC" w:rsidRDefault="00CE56F5" w:rsidP="00482032">
      <w:pPr>
        <w:widowControl/>
        <w:rPr>
          <w:rFonts w:cs="Arial"/>
          <w:b/>
          <w:szCs w:val="22"/>
        </w:rPr>
      </w:pPr>
      <w:r w:rsidRPr="004D60AC">
        <w:rPr>
          <w:rFonts w:cs="Arial"/>
          <w:b/>
          <w:szCs w:val="22"/>
        </w:rPr>
        <w:lastRenderedPageBreak/>
        <w:t>Supporting document</w:t>
      </w:r>
    </w:p>
    <w:p w14:paraId="0F4469F9" w14:textId="77777777" w:rsidR="00CE56F5" w:rsidRPr="004D60AC" w:rsidRDefault="00CE56F5" w:rsidP="00482032">
      <w:pPr>
        <w:widowControl/>
        <w:rPr>
          <w:rFonts w:cs="Arial"/>
          <w:szCs w:val="22"/>
        </w:rPr>
      </w:pPr>
    </w:p>
    <w:p w14:paraId="4EA2305A" w14:textId="029F4EBD" w:rsidR="00CE56F5" w:rsidRPr="004D60AC" w:rsidRDefault="00CE56F5" w:rsidP="00482032">
      <w:pPr>
        <w:widowControl/>
        <w:rPr>
          <w:rFonts w:cs="Arial"/>
          <w:szCs w:val="22"/>
        </w:rPr>
      </w:pPr>
      <w:r w:rsidRPr="004D60AC">
        <w:rPr>
          <w:rFonts w:cs="Arial"/>
          <w:szCs w:val="22"/>
        </w:rPr>
        <w:t xml:space="preserve">The following documents which informed the assessment of this </w:t>
      </w:r>
      <w:r w:rsidR="00D55715">
        <w:rPr>
          <w:rFonts w:cs="Arial"/>
          <w:szCs w:val="22"/>
        </w:rPr>
        <w:t>a</w:t>
      </w:r>
      <w:r w:rsidR="00D55715" w:rsidRPr="004D60AC">
        <w:rPr>
          <w:rFonts w:cs="Arial"/>
          <w:szCs w:val="22"/>
        </w:rPr>
        <w:t xml:space="preserve">pplication </w:t>
      </w:r>
      <w:r w:rsidRPr="004D60AC">
        <w:rPr>
          <w:rFonts w:cs="Arial"/>
          <w:szCs w:val="22"/>
        </w:rPr>
        <w:t>are available on the FSANZ website:</w:t>
      </w:r>
    </w:p>
    <w:p w14:paraId="3F25BDB1" w14:textId="77777777" w:rsidR="00CE56F5" w:rsidRPr="004D60AC" w:rsidRDefault="00CE56F5" w:rsidP="00482032">
      <w:pPr>
        <w:widowControl/>
        <w:rPr>
          <w:rFonts w:cs="Arial"/>
          <w:szCs w:val="22"/>
        </w:rPr>
      </w:pPr>
    </w:p>
    <w:p w14:paraId="25EB16B4" w14:textId="1C88F490" w:rsidR="00CE56F5" w:rsidRDefault="00CE56F5" w:rsidP="00482032">
      <w:pPr>
        <w:widowControl/>
        <w:ind w:left="1134" w:hanging="1134"/>
        <w:rPr>
          <w:rFonts w:cs="Arial"/>
          <w:szCs w:val="22"/>
        </w:rPr>
      </w:pPr>
      <w:r w:rsidRPr="004D60AC">
        <w:rPr>
          <w:rFonts w:cs="Arial"/>
          <w:szCs w:val="22"/>
        </w:rPr>
        <w:t>SD1</w:t>
      </w:r>
      <w:r w:rsidRPr="004D60AC">
        <w:rPr>
          <w:rFonts w:cs="Arial"/>
          <w:szCs w:val="22"/>
        </w:rPr>
        <w:tab/>
        <w:t>Risk and technical assessment</w:t>
      </w:r>
      <w:r w:rsidR="001F4A20">
        <w:rPr>
          <w:rFonts w:cs="Arial"/>
          <w:szCs w:val="22"/>
        </w:rPr>
        <w:t xml:space="preserve"> report</w:t>
      </w:r>
    </w:p>
    <w:p w14:paraId="6921BB05" w14:textId="0FE6E029" w:rsidR="002149FB" w:rsidRPr="004D60AC" w:rsidRDefault="002149FB" w:rsidP="00482032">
      <w:pPr>
        <w:widowControl/>
        <w:ind w:left="1134" w:hanging="1134"/>
        <w:rPr>
          <w:rFonts w:cs="Arial"/>
          <w:szCs w:val="22"/>
        </w:rPr>
      </w:pPr>
      <w:r>
        <w:rPr>
          <w:rFonts w:cs="Arial"/>
          <w:szCs w:val="22"/>
        </w:rPr>
        <w:t>SD2</w:t>
      </w:r>
      <w:r>
        <w:rPr>
          <w:rFonts w:cs="Arial"/>
          <w:szCs w:val="22"/>
        </w:rPr>
        <w:tab/>
        <w:t xml:space="preserve">Assessment of </w:t>
      </w:r>
      <w:r w:rsidR="001F4A20">
        <w:rPr>
          <w:rFonts w:cs="Arial"/>
          <w:szCs w:val="22"/>
        </w:rPr>
        <w:t>g</w:t>
      </w:r>
      <w:r>
        <w:rPr>
          <w:rFonts w:cs="Arial"/>
          <w:szCs w:val="22"/>
        </w:rPr>
        <w:t xml:space="preserve">alacto-oligosachardies against </w:t>
      </w:r>
      <w:r w:rsidR="005C0291">
        <w:rPr>
          <w:rFonts w:cs="Arial"/>
          <w:szCs w:val="22"/>
        </w:rPr>
        <w:t>three beneficial physiological effects</w:t>
      </w:r>
    </w:p>
    <w:p w14:paraId="46D2C458" w14:textId="77777777" w:rsidR="00CE56F5" w:rsidRPr="004D60AC" w:rsidRDefault="00CE56F5" w:rsidP="00482032">
      <w:pPr>
        <w:widowControl/>
        <w:rPr>
          <w:rFonts w:cs="Arial"/>
          <w:szCs w:val="22"/>
        </w:rPr>
      </w:pPr>
      <w:r w:rsidRPr="004D60AC">
        <w:rPr>
          <w:rFonts w:cs="Arial"/>
          <w:szCs w:val="22"/>
        </w:rPr>
        <w:br w:type="page"/>
      </w:r>
    </w:p>
    <w:p w14:paraId="1EC32C5A" w14:textId="056C6C5A" w:rsidR="00CE56F5" w:rsidRPr="002B31BC" w:rsidRDefault="00CE56F5" w:rsidP="00482032">
      <w:pPr>
        <w:pStyle w:val="Heading1"/>
        <w:widowControl/>
        <w:rPr>
          <w:rFonts w:cs="Arial"/>
          <w:szCs w:val="36"/>
        </w:rPr>
      </w:pPr>
      <w:bookmarkStart w:id="1" w:name="_Toc286391001"/>
      <w:bookmarkStart w:id="2" w:name="_Toc300933414"/>
      <w:bookmarkStart w:id="3" w:name="_Toc67321493"/>
      <w:bookmarkStart w:id="4" w:name="_Toc69987901"/>
      <w:bookmarkStart w:id="5" w:name="_Toc70002623"/>
      <w:bookmarkStart w:id="6" w:name="_Toc11735627"/>
      <w:bookmarkStart w:id="7" w:name="_Toc29883110"/>
      <w:bookmarkStart w:id="8" w:name="_Toc41906797"/>
      <w:bookmarkStart w:id="9" w:name="_Toc41907544"/>
      <w:bookmarkStart w:id="10" w:name="_Toc120358575"/>
      <w:r w:rsidRPr="002B31BC">
        <w:rPr>
          <w:rFonts w:cs="Arial"/>
          <w:szCs w:val="36"/>
        </w:rPr>
        <w:lastRenderedPageBreak/>
        <w:t>Executive summary</w:t>
      </w:r>
      <w:bookmarkEnd w:id="1"/>
      <w:bookmarkEnd w:id="2"/>
      <w:bookmarkEnd w:id="3"/>
      <w:bookmarkEnd w:id="4"/>
      <w:bookmarkEnd w:id="5"/>
    </w:p>
    <w:p w14:paraId="64171CA3" w14:textId="6F605DA4" w:rsidR="00C34B03" w:rsidRDefault="007A4782" w:rsidP="00482032">
      <w:pPr>
        <w:widowControl/>
        <w:spacing w:after="240"/>
        <w:rPr>
          <w:szCs w:val="22"/>
        </w:rPr>
      </w:pPr>
      <w:bookmarkStart w:id="11" w:name="_Toc286391003"/>
      <w:r>
        <w:t xml:space="preserve">This </w:t>
      </w:r>
      <w:r w:rsidR="00A44713">
        <w:t>a</w:t>
      </w:r>
      <w:r>
        <w:t xml:space="preserve">pplication by the Australian Grains and Legumes Nutrition Council (GLNC) </w:t>
      </w:r>
      <w:r w:rsidR="00311E35">
        <w:t>seeks</w:t>
      </w:r>
      <w:r w:rsidR="00311E35" w:rsidRPr="004D60AC">
        <w:t xml:space="preserve"> </w:t>
      </w:r>
      <w:r w:rsidRPr="004D60AC">
        <w:t xml:space="preserve">to amend section S11—4 of the </w:t>
      </w:r>
      <w:r w:rsidRPr="00FD3413">
        <w:t>Australia New Zealand Food Standards Code</w:t>
      </w:r>
      <w:r w:rsidRPr="004D60AC">
        <w:rPr>
          <w:i/>
        </w:rPr>
        <w:t xml:space="preserve"> </w:t>
      </w:r>
      <w:r w:rsidRPr="004D60AC">
        <w:t xml:space="preserve">(the Code) to </w:t>
      </w:r>
      <w:r>
        <w:t xml:space="preserve">permit </w:t>
      </w:r>
      <w:r w:rsidRPr="00074709">
        <w:rPr>
          <w:i/>
        </w:rPr>
        <w:t>AOAC Method 2017.16 - Rapid Integrated Total Dietary Fibre Method</w:t>
      </w:r>
      <w:r>
        <w:t xml:space="preserve"> (AOAC 2017.16), as a new method of analysis for measuring </w:t>
      </w:r>
      <w:r w:rsidR="00131BC3">
        <w:t>total</w:t>
      </w:r>
      <w:r>
        <w:t xml:space="preserve"> dietary fibre</w:t>
      </w:r>
      <w:r w:rsidR="00391156">
        <w:rPr>
          <w:rStyle w:val="FootnoteReference"/>
        </w:rPr>
        <w:footnoteReference w:id="2"/>
      </w:r>
      <w:r>
        <w:t xml:space="preserve"> content in food and food ingredients. </w:t>
      </w:r>
      <w:r w:rsidRPr="00624DD2">
        <w:rPr>
          <w:szCs w:val="22"/>
        </w:rPr>
        <w:t xml:space="preserve">Currently, section S11—4 of the Code prescribes </w:t>
      </w:r>
      <w:r>
        <w:rPr>
          <w:szCs w:val="22"/>
        </w:rPr>
        <w:t>three</w:t>
      </w:r>
      <w:r w:rsidRPr="00624DD2">
        <w:rPr>
          <w:szCs w:val="22"/>
        </w:rPr>
        <w:t xml:space="preserve"> methods for analysing </w:t>
      </w:r>
      <w:r w:rsidR="00131BC3">
        <w:rPr>
          <w:szCs w:val="22"/>
        </w:rPr>
        <w:t>total</w:t>
      </w:r>
      <w:r w:rsidRPr="00624DD2">
        <w:rPr>
          <w:szCs w:val="22"/>
        </w:rPr>
        <w:t xml:space="preserve"> dietary fibre</w:t>
      </w:r>
      <w:r w:rsidR="00FC4A95">
        <w:t xml:space="preserve"> </w:t>
      </w:r>
      <w:r w:rsidRPr="00624DD2">
        <w:rPr>
          <w:szCs w:val="22"/>
        </w:rPr>
        <w:t xml:space="preserve">and </w:t>
      </w:r>
      <w:r>
        <w:rPr>
          <w:szCs w:val="22"/>
        </w:rPr>
        <w:t xml:space="preserve">four methods for analysing </w:t>
      </w:r>
      <w:r w:rsidRPr="00624DD2">
        <w:rPr>
          <w:szCs w:val="22"/>
        </w:rPr>
        <w:t>ce</w:t>
      </w:r>
      <w:r>
        <w:rPr>
          <w:szCs w:val="22"/>
        </w:rPr>
        <w:t>rtain specifically named fibres</w:t>
      </w:r>
      <w:r w:rsidR="00C34B03">
        <w:rPr>
          <w:szCs w:val="22"/>
        </w:rPr>
        <w:t>.</w:t>
      </w:r>
    </w:p>
    <w:p w14:paraId="55DFB895" w14:textId="3A3FD018" w:rsidR="003721F1" w:rsidRDefault="00F41C4C" w:rsidP="00AC0409">
      <w:pPr>
        <w:widowControl/>
        <w:spacing w:before="120" w:after="240"/>
      </w:pPr>
      <w:r>
        <w:t xml:space="preserve">Method of analysis AOAC 2017.16 </w:t>
      </w:r>
      <w:r w:rsidR="00521ECC">
        <w:t xml:space="preserve">has been assessed by FSANZ. </w:t>
      </w:r>
      <w:r w:rsidR="00231EDF">
        <w:t xml:space="preserve">Consideration was given to </w:t>
      </w:r>
      <w:r w:rsidR="00231EDF" w:rsidRPr="00231EDF">
        <w:t xml:space="preserve">AOAC 2009.01 </w:t>
      </w:r>
      <w:r w:rsidR="00B630B6">
        <w:t xml:space="preserve">because it is </w:t>
      </w:r>
      <w:r w:rsidR="00231EDF" w:rsidRPr="00231EDF">
        <w:t xml:space="preserve">the predecessor method to AOAC 2017.16. </w:t>
      </w:r>
      <w:r w:rsidR="00B630B6" w:rsidRPr="00231EDF">
        <w:t xml:space="preserve">AOAC 2009.01 </w:t>
      </w:r>
      <w:r w:rsidR="00231EDF" w:rsidRPr="00231EDF">
        <w:t xml:space="preserve"> is not permitted in the Code but is accepted as a method of analysis for total dietary fibre by Codex and </w:t>
      </w:r>
      <w:r w:rsidR="00AD0041" w:rsidRPr="00231EDF">
        <w:t>countries</w:t>
      </w:r>
      <w:r w:rsidR="00AD0041">
        <w:t xml:space="preserve"> comparable to Australia and New Zealand</w:t>
      </w:r>
      <w:r w:rsidR="00AD0041" w:rsidRPr="00231EDF">
        <w:t xml:space="preserve"> </w:t>
      </w:r>
      <w:r w:rsidR="00231EDF" w:rsidRPr="00231EDF">
        <w:t>such as Canada, the United States and European Union. Codex is currently considering replacing AOAC 2009.01 with AOAC 2017.16.</w:t>
      </w:r>
      <w:r w:rsidR="00231EDF">
        <w:t xml:space="preserve"> </w:t>
      </w:r>
      <w:r w:rsidR="001D3DEA">
        <w:t xml:space="preserve">FSANZ’s </w:t>
      </w:r>
      <w:r w:rsidR="00521ECC">
        <w:t>assessment found the method</w:t>
      </w:r>
      <w:r w:rsidR="00623FAE">
        <w:t xml:space="preserve"> AOAC 2017.16</w:t>
      </w:r>
      <w:r w:rsidR="003721F1">
        <w:t>:</w:t>
      </w:r>
      <w:r>
        <w:t xml:space="preserve"> </w:t>
      </w:r>
    </w:p>
    <w:p w14:paraId="66B5C642" w14:textId="77777777" w:rsidR="00FF3713" w:rsidRDefault="00FF3713" w:rsidP="00FF3713">
      <w:pPr>
        <w:pStyle w:val="FSBullet1"/>
        <w:numPr>
          <w:ilvl w:val="0"/>
          <w:numId w:val="31"/>
        </w:numPr>
        <w:ind w:left="567" w:hanging="567"/>
      </w:pPr>
      <w:r>
        <w:t>is more comprehensive than older methods in the Code for measuring total dietary fibre</w:t>
      </w:r>
    </w:p>
    <w:p w14:paraId="6683B5DB" w14:textId="77777777" w:rsidR="00FF3713" w:rsidRPr="00456E67" w:rsidRDefault="00FF3713" w:rsidP="00FF3713">
      <w:pPr>
        <w:pStyle w:val="FSBullet1"/>
        <w:numPr>
          <w:ilvl w:val="0"/>
          <w:numId w:val="31"/>
        </w:numPr>
        <w:ind w:left="567" w:hanging="567"/>
        <w:rPr>
          <w:rFonts w:cstheme="minorBidi"/>
        </w:rPr>
      </w:pPr>
      <w:r w:rsidRPr="00F47ECA">
        <w:rPr>
          <w:rFonts w:eastAsia="TimesNewRomanPSMT"/>
        </w:rPr>
        <w:t xml:space="preserve">has a similar level of precision compared to </w:t>
      </w:r>
      <w:r>
        <w:rPr>
          <w:rFonts w:eastAsia="TimesNewRomanPSMT"/>
        </w:rPr>
        <w:t>older methods in the Code for total dietary fibre (</w:t>
      </w:r>
      <w:r w:rsidRPr="00F47ECA">
        <w:rPr>
          <w:rFonts w:eastAsia="TimesNewRomanPSMT"/>
        </w:rPr>
        <w:t>AOAC 985.29, 991.43 and 2001.03</w:t>
      </w:r>
      <w:r>
        <w:rPr>
          <w:rFonts w:eastAsia="TimesNewRomanPSMT"/>
        </w:rPr>
        <w:t>)</w:t>
      </w:r>
    </w:p>
    <w:p w14:paraId="65E47144" w14:textId="77777777" w:rsidR="00FF3713" w:rsidRDefault="00FF3713" w:rsidP="00FF3713">
      <w:pPr>
        <w:pStyle w:val="FSBullet1"/>
        <w:numPr>
          <w:ilvl w:val="0"/>
          <w:numId w:val="31"/>
        </w:numPr>
        <w:ind w:left="567" w:hanging="567"/>
      </w:pPr>
      <w:r>
        <w:t>has good recovery (mean recovery of 97.4% from 7 samples)</w:t>
      </w:r>
    </w:p>
    <w:p w14:paraId="07DA2E53" w14:textId="77777777" w:rsidR="00FF3713" w:rsidRDefault="00FF3713" w:rsidP="00FF3713">
      <w:pPr>
        <w:pStyle w:val="FSBullet1"/>
        <w:numPr>
          <w:ilvl w:val="0"/>
          <w:numId w:val="31"/>
        </w:numPr>
        <w:ind w:left="567" w:hanging="567"/>
      </w:pPr>
      <w:r>
        <w:t>avoids the need to account for the double counting of specific dietary fibre fractions if total dietary fibre is measured by two or more methods</w:t>
      </w:r>
    </w:p>
    <w:p w14:paraId="582FD9DA" w14:textId="77777777" w:rsidR="00FF3713" w:rsidRDefault="00FF3713" w:rsidP="00FF3713">
      <w:pPr>
        <w:pStyle w:val="FSBullet1"/>
        <w:numPr>
          <w:ilvl w:val="0"/>
          <w:numId w:val="31"/>
        </w:numPr>
        <w:ind w:left="567" w:hanging="567"/>
        <w:rPr>
          <w:rFonts w:ascii="Calibri" w:hAnsi="Calibri"/>
        </w:rPr>
      </w:pPr>
      <w:r>
        <w:t>has an incubation temperature that matches physiological conditions (37</w:t>
      </w:r>
      <w:r w:rsidRPr="00F47ECA">
        <w:t>°</w:t>
      </w:r>
      <w:r>
        <w:t>C) and incubation time (4 h) that, compared with existing methods, aligns closer to conditions for the digestion of dietary fibre in the small intestine</w:t>
      </w:r>
    </w:p>
    <w:p w14:paraId="3EC566C6" w14:textId="77777777" w:rsidR="00FF3713" w:rsidRDefault="00FF3713" w:rsidP="00FF3713">
      <w:pPr>
        <w:pStyle w:val="FSBullet1"/>
        <w:numPr>
          <w:ilvl w:val="0"/>
          <w:numId w:val="31"/>
        </w:numPr>
        <w:ind w:left="567" w:hanging="567"/>
      </w:pPr>
      <w:r>
        <w:t xml:space="preserve">has substantially increased enzyme levels (compared to AOAC 985.29, 991.43 and </w:t>
      </w:r>
      <w:r w:rsidRPr="00032FA2">
        <w:t>2009.01</w:t>
      </w:r>
      <w:r>
        <w:t xml:space="preserve">) so that the resistant starch values are in line with those seen in AOAC 2002.02 and </w:t>
      </w:r>
      <w:r w:rsidRPr="00231EDF">
        <w:t>underestimation of fructo-oligosaccharide and overestimation of resistant maltodextrin seen in AOAC 2009.01 are resolved</w:t>
      </w:r>
      <w:r>
        <w:t>.</w:t>
      </w:r>
    </w:p>
    <w:p w14:paraId="27EC268A" w14:textId="36678909" w:rsidR="001F4A20" w:rsidRDefault="00470CE5" w:rsidP="006B5A34">
      <w:pPr>
        <w:pStyle w:val="FSBullet1"/>
        <w:numPr>
          <w:ilvl w:val="0"/>
          <w:numId w:val="0"/>
        </w:numPr>
        <w:spacing w:before="240"/>
      </w:pPr>
      <w:r>
        <w:t xml:space="preserve">AOAC 2017.16 detects </w:t>
      </w:r>
      <w:r w:rsidR="00813679">
        <w:t xml:space="preserve">non-digestible oligosaccharides, </w:t>
      </w:r>
      <w:r>
        <w:t>galacto-oligosaccharides (GOS)</w:t>
      </w:r>
      <w:r w:rsidR="008A04F3">
        <w:t xml:space="preserve"> and isomalto-oligosacc</w:t>
      </w:r>
      <w:r w:rsidR="00960EA1">
        <w:t>harides (IMO</w:t>
      </w:r>
      <w:r w:rsidR="008A04F3">
        <w:t xml:space="preserve">), which were given further consideration as part of </w:t>
      </w:r>
      <w:r w:rsidR="009960DE">
        <w:t xml:space="preserve">assessing </w:t>
      </w:r>
      <w:r w:rsidR="00E273EE">
        <w:t xml:space="preserve">this application </w:t>
      </w:r>
      <w:r w:rsidR="008A04F3">
        <w:t>A1178</w:t>
      </w:r>
      <w:r>
        <w:t xml:space="preserve">. </w:t>
      </w:r>
      <w:r w:rsidR="008A04F3">
        <w:t>Other fractions</w:t>
      </w:r>
      <w:r w:rsidRPr="00D636C1">
        <w:t xml:space="preserve"> measured by AOAC 2017.16</w:t>
      </w:r>
      <w:r w:rsidR="008A04F3">
        <w:t xml:space="preserve"> </w:t>
      </w:r>
      <w:r w:rsidRPr="00D636C1">
        <w:t xml:space="preserve">are </w:t>
      </w:r>
      <w:r w:rsidR="00960EA1">
        <w:t>also</w:t>
      </w:r>
      <w:r w:rsidRPr="00D636C1">
        <w:t xml:space="preserve"> measured by other method</w:t>
      </w:r>
      <w:r>
        <w:t>s</w:t>
      </w:r>
      <w:r w:rsidRPr="00D636C1">
        <w:t xml:space="preserve"> of analysis permitted by the Code</w:t>
      </w:r>
      <w:r>
        <w:t xml:space="preserve"> (two measuring total dietary fibre and four measuring specifically named dietary fibre). Another method of analysis permitted by the Code for determining total dietary fibre (including resistant maltodextrins), AOAC 2001.03, detects</w:t>
      </w:r>
      <w:r w:rsidR="00B43F63">
        <w:t xml:space="preserve"> low molecular weight dietary f</w:t>
      </w:r>
      <w:r w:rsidR="00960EA1">
        <w:t>ibre</w:t>
      </w:r>
      <w:r w:rsidR="001F4A20">
        <w:t xml:space="preserve">; </w:t>
      </w:r>
      <w:r w:rsidR="00960EA1">
        <w:t>GOS and IMO</w:t>
      </w:r>
      <w:r w:rsidR="001F4A20">
        <w:t xml:space="preserve"> are picked up in this fraction</w:t>
      </w:r>
      <w:r>
        <w:t>.</w:t>
      </w:r>
      <w:r w:rsidR="009960DE">
        <w:t xml:space="preserve"> </w:t>
      </w:r>
    </w:p>
    <w:p w14:paraId="129FBAAC" w14:textId="387B0988" w:rsidR="006B5A34" w:rsidRDefault="007A4782" w:rsidP="006B5A34">
      <w:pPr>
        <w:spacing w:before="240" w:after="240"/>
      </w:pPr>
      <w:r w:rsidRPr="00C06990">
        <w:rPr>
          <w:szCs w:val="22"/>
          <w:lang w:eastAsia="en-AU" w:bidi="ar-SA"/>
        </w:rPr>
        <w:t>FSANZ</w:t>
      </w:r>
      <w:r w:rsidR="00DA181B" w:rsidRPr="00C06990">
        <w:rPr>
          <w:szCs w:val="22"/>
          <w:lang w:eastAsia="en-AU" w:bidi="ar-SA"/>
        </w:rPr>
        <w:t>’s</w:t>
      </w:r>
      <w:r w:rsidRPr="00C06990">
        <w:rPr>
          <w:szCs w:val="22"/>
          <w:lang w:eastAsia="en-AU" w:bidi="ar-SA"/>
        </w:rPr>
        <w:t xml:space="preserve"> assessment concluded GOS </w:t>
      </w:r>
      <w:r w:rsidR="00FE64A7" w:rsidRPr="00C06990">
        <w:rPr>
          <w:szCs w:val="22"/>
          <w:lang w:eastAsia="en-AU" w:bidi="ar-SA"/>
        </w:rPr>
        <w:t xml:space="preserve">in any form </w:t>
      </w:r>
      <w:r w:rsidRPr="00C06990">
        <w:rPr>
          <w:szCs w:val="22"/>
          <w:lang w:eastAsia="en-AU" w:bidi="ar-SA"/>
        </w:rPr>
        <w:t xml:space="preserve">does not meet all </w:t>
      </w:r>
      <w:r w:rsidR="00647C95" w:rsidRPr="00C06990">
        <w:rPr>
          <w:szCs w:val="22"/>
          <w:lang w:eastAsia="en-AU" w:bidi="ar-SA"/>
        </w:rPr>
        <w:t xml:space="preserve">criteria </w:t>
      </w:r>
      <w:r w:rsidR="00FE64A7" w:rsidRPr="00C06990">
        <w:rPr>
          <w:szCs w:val="22"/>
          <w:lang w:eastAsia="en-AU" w:bidi="ar-SA"/>
        </w:rPr>
        <w:t xml:space="preserve">for </w:t>
      </w:r>
      <w:r w:rsidRPr="00C06990">
        <w:rPr>
          <w:szCs w:val="22"/>
          <w:lang w:eastAsia="en-AU" w:bidi="ar-SA"/>
        </w:rPr>
        <w:t xml:space="preserve">the </w:t>
      </w:r>
      <w:r w:rsidR="00FE42F8" w:rsidRPr="00C06990">
        <w:rPr>
          <w:szCs w:val="22"/>
          <w:lang w:eastAsia="en-AU" w:bidi="ar-SA"/>
        </w:rPr>
        <w:t xml:space="preserve">Code’s </w:t>
      </w:r>
      <w:r w:rsidR="00FE64A7" w:rsidRPr="00C06990">
        <w:rPr>
          <w:szCs w:val="22"/>
          <w:lang w:eastAsia="en-AU" w:bidi="ar-SA"/>
        </w:rPr>
        <w:t>definition of</w:t>
      </w:r>
      <w:r w:rsidR="00700A6B" w:rsidRPr="00C06990">
        <w:rPr>
          <w:szCs w:val="22"/>
          <w:lang w:eastAsia="en-AU" w:bidi="ar-SA"/>
        </w:rPr>
        <w:t xml:space="preserve"> dietary fibre</w:t>
      </w:r>
      <w:r w:rsidR="006B5A34">
        <w:rPr>
          <w:szCs w:val="22"/>
          <w:lang w:eastAsia="en-AU" w:bidi="ar-SA"/>
        </w:rPr>
        <w:t xml:space="preserve">. Based on available information suggesting levels of IMO in the Australian and New Zealand food supply are lower than GOS, </w:t>
      </w:r>
      <w:r w:rsidR="006B5A34">
        <w:rPr>
          <w:lang w:bidi="ar-SA"/>
        </w:rPr>
        <w:t>FSANZ has not considered IMO in relation to meeting the requirements of the Code’s dietary fibre definition as part of this application A1178</w:t>
      </w:r>
      <w:r w:rsidR="006B5A34">
        <w:t>.</w:t>
      </w:r>
    </w:p>
    <w:p w14:paraId="03AB5A6D" w14:textId="0591F8E1" w:rsidR="00391156" w:rsidRDefault="00391156" w:rsidP="00FF3713">
      <w:pPr>
        <w:spacing w:before="240" w:after="240"/>
      </w:pPr>
      <w:r>
        <w:rPr>
          <w:lang w:eastAsia="en-AU"/>
        </w:rPr>
        <w:t xml:space="preserve">FSANZ considered three risk management options for </w:t>
      </w:r>
      <w:r w:rsidR="00E273EE">
        <w:rPr>
          <w:lang w:eastAsia="en-AU"/>
        </w:rPr>
        <w:t xml:space="preserve">this application </w:t>
      </w:r>
      <w:r>
        <w:rPr>
          <w:lang w:eastAsia="en-AU"/>
        </w:rPr>
        <w:t xml:space="preserve">A1178: </w:t>
      </w:r>
    </w:p>
    <w:p w14:paraId="5FB8B740" w14:textId="77777777" w:rsidR="00391156" w:rsidRDefault="00391156" w:rsidP="00391156">
      <w:pPr>
        <w:pStyle w:val="ListParagraph"/>
        <w:widowControl/>
        <w:numPr>
          <w:ilvl w:val="0"/>
          <w:numId w:val="46"/>
        </w:numPr>
      </w:pPr>
      <w:r>
        <w:lastRenderedPageBreak/>
        <w:t>Maintain the status quo by not permitting AOAC 2017.16 as a dietary fibre method of analysis.</w:t>
      </w:r>
    </w:p>
    <w:p w14:paraId="4C5B002B" w14:textId="5D9C804A" w:rsidR="00391156" w:rsidRDefault="00391156" w:rsidP="00391156">
      <w:pPr>
        <w:pStyle w:val="ListParagraph"/>
        <w:widowControl/>
        <w:numPr>
          <w:ilvl w:val="0"/>
          <w:numId w:val="46"/>
        </w:numPr>
      </w:pPr>
      <w:r w:rsidRPr="0082338B">
        <w:t>Permit AOAC 2017.16 as a dietary fibre method of analysis with restrictions against its use on foods containing GOS</w:t>
      </w:r>
      <w:r w:rsidR="00050EC8">
        <w:t xml:space="preserve"> and IMO</w:t>
      </w:r>
      <w:r>
        <w:t>.</w:t>
      </w:r>
    </w:p>
    <w:p w14:paraId="5FB6B87E" w14:textId="2EC609F8" w:rsidR="00391156" w:rsidRDefault="00391156" w:rsidP="007C2774">
      <w:pPr>
        <w:pStyle w:val="ListParagraph"/>
        <w:widowControl/>
        <w:numPr>
          <w:ilvl w:val="0"/>
          <w:numId w:val="46"/>
        </w:numPr>
        <w:spacing w:after="240"/>
      </w:pPr>
      <w:r>
        <w:t xml:space="preserve">Permit AOAC 2017.16 </w:t>
      </w:r>
      <w:r w:rsidRPr="009A31F3">
        <w:t>without restriction</w:t>
      </w:r>
      <w:r>
        <w:t>.</w:t>
      </w:r>
    </w:p>
    <w:p w14:paraId="1B4CF50D" w14:textId="77777777" w:rsidR="006B5A34" w:rsidRDefault="006B5A34" w:rsidP="007C2774">
      <w:pPr>
        <w:widowControl/>
        <w:spacing w:before="120" w:after="240"/>
        <w:rPr>
          <w:lang w:eastAsia="en-AU"/>
        </w:rPr>
      </w:pPr>
      <w:r>
        <w:rPr>
          <w:lang w:eastAsia="en-AU"/>
        </w:rPr>
        <w:t>A</w:t>
      </w:r>
      <w:r w:rsidRPr="006B5A34">
        <w:rPr>
          <w:lang w:eastAsia="en-AU"/>
        </w:rPr>
        <w:t xml:space="preserve"> </w:t>
      </w:r>
      <w:r>
        <w:rPr>
          <w:lang w:eastAsia="en-AU"/>
        </w:rPr>
        <w:t>considerable</w:t>
      </w:r>
      <w:r w:rsidRPr="006B5A34">
        <w:rPr>
          <w:lang w:eastAsia="en-AU"/>
        </w:rPr>
        <w:t xml:space="preserve"> overestimation of total dietary fibre </w:t>
      </w:r>
      <w:r>
        <w:rPr>
          <w:lang w:eastAsia="en-AU"/>
        </w:rPr>
        <w:t xml:space="preserve">by methods of analysis </w:t>
      </w:r>
      <w:r w:rsidRPr="006B5A34">
        <w:rPr>
          <w:lang w:eastAsia="en-AU"/>
        </w:rPr>
        <w:t xml:space="preserve">could alter food composition data, dietary fibre values on nutrition information panels (NIP), and the determination of fibre points (F points) for the purpose of determining the nutrient profiling scoring criterion (NSPC). </w:t>
      </w:r>
    </w:p>
    <w:p w14:paraId="33F8C770" w14:textId="0C461735" w:rsidR="001D3DEA" w:rsidRDefault="007C7379" w:rsidP="007C2774">
      <w:pPr>
        <w:widowControl/>
        <w:spacing w:before="120" w:after="240"/>
        <w:rPr>
          <w:rFonts w:cs="Arial"/>
          <w:szCs w:val="22"/>
        </w:rPr>
      </w:pPr>
      <w:r>
        <w:rPr>
          <w:lang w:eastAsia="en-AU"/>
        </w:rPr>
        <w:t>FSANZ sought to quantify any potential overestimation of total dietary fibre on GOS-containing foods analysed using AOAC 2017.</w:t>
      </w:r>
      <w:r>
        <w:t xml:space="preserve"> </w:t>
      </w:r>
      <w:r w:rsidR="006B5A34">
        <w:t>This would indicate if consumers’ ability to make informed choices around dietary fibre would be adversely impacted</w:t>
      </w:r>
      <w:r w:rsidR="00704E75">
        <w:t xml:space="preserve"> by permitting AOAC 2017.16</w:t>
      </w:r>
      <w:r w:rsidR="006B5A34">
        <w:t xml:space="preserve">. </w:t>
      </w:r>
      <w:r w:rsidR="009D0ABC">
        <w:rPr>
          <w:rFonts w:cs="Arial"/>
          <w:szCs w:val="22"/>
        </w:rPr>
        <w:t xml:space="preserve">From limited data, naturally-occurring </w:t>
      </w:r>
      <w:r w:rsidR="009D0ABC">
        <w:rPr>
          <w:lang w:bidi="ar-SA"/>
        </w:rPr>
        <w:t xml:space="preserve">GOS appears to contribute </w:t>
      </w:r>
      <w:r w:rsidR="00483B75">
        <w:rPr>
          <w:lang w:bidi="ar-SA"/>
        </w:rPr>
        <w:t>about 3-</w:t>
      </w:r>
      <w:r w:rsidR="009D0ABC" w:rsidRPr="00467B54">
        <w:rPr>
          <w:lang w:bidi="ar-SA"/>
        </w:rPr>
        <w:t xml:space="preserve">6% of </w:t>
      </w:r>
      <w:r w:rsidR="009D0ABC">
        <w:rPr>
          <w:lang w:bidi="ar-SA"/>
        </w:rPr>
        <w:t>total</w:t>
      </w:r>
      <w:r w:rsidR="009D0ABC" w:rsidRPr="00467B54">
        <w:rPr>
          <w:lang w:bidi="ar-SA"/>
        </w:rPr>
        <w:t xml:space="preserve"> dietary fibre </w:t>
      </w:r>
      <w:r w:rsidR="009D0ABC">
        <w:rPr>
          <w:lang w:bidi="ar-SA"/>
        </w:rPr>
        <w:t xml:space="preserve">in GOS-containing foods </w:t>
      </w:r>
      <w:r w:rsidR="009D0ABC" w:rsidRPr="00467B54">
        <w:rPr>
          <w:lang w:bidi="ar-SA"/>
        </w:rPr>
        <w:t>measured by AOAC</w:t>
      </w:r>
      <w:r w:rsidR="009D0ABC">
        <w:rPr>
          <w:lang w:bidi="ar-SA"/>
        </w:rPr>
        <w:t xml:space="preserve"> 2017.16. </w:t>
      </w:r>
      <w:r w:rsidR="00A261A4">
        <w:rPr>
          <w:lang w:eastAsia="en-AU" w:bidi="ar-SA"/>
        </w:rPr>
        <w:t xml:space="preserve">FSANZ </w:t>
      </w:r>
      <w:r w:rsidR="000376E1">
        <w:rPr>
          <w:lang w:eastAsia="en-AU" w:bidi="ar-SA"/>
        </w:rPr>
        <w:t>found that</w:t>
      </w:r>
      <w:r w:rsidR="000376E1">
        <w:rPr>
          <w:lang w:bidi="ar-SA"/>
        </w:rPr>
        <w:t xml:space="preserve"> </w:t>
      </w:r>
      <w:r w:rsidR="009D0ABC">
        <w:rPr>
          <w:lang w:bidi="ar-SA"/>
        </w:rPr>
        <w:t>naturally</w:t>
      </w:r>
      <w:r w:rsidR="00960EA1">
        <w:rPr>
          <w:lang w:bidi="ar-SA"/>
        </w:rPr>
        <w:t>-</w:t>
      </w:r>
      <w:r w:rsidR="009D0ABC">
        <w:rPr>
          <w:lang w:bidi="ar-SA"/>
        </w:rPr>
        <w:t xml:space="preserve">occurring </w:t>
      </w:r>
      <w:r w:rsidR="000376E1">
        <w:rPr>
          <w:lang w:bidi="ar-SA"/>
        </w:rPr>
        <w:t xml:space="preserve">GOS could </w:t>
      </w:r>
      <w:r w:rsidR="000376E1">
        <w:rPr>
          <w:rFonts w:cs="Arial"/>
          <w:szCs w:val="22"/>
        </w:rPr>
        <w:t xml:space="preserve">increase </w:t>
      </w:r>
      <w:r w:rsidR="00131BC3">
        <w:rPr>
          <w:rFonts w:cs="Arial"/>
          <w:szCs w:val="22"/>
        </w:rPr>
        <w:t>total</w:t>
      </w:r>
      <w:r w:rsidR="000376E1">
        <w:rPr>
          <w:rFonts w:cs="Arial"/>
          <w:szCs w:val="22"/>
        </w:rPr>
        <w:t xml:space="preserve"> dietary fibre values in plant f</w:t>
      </w:r>
      <w:r w:rsidR="003721F1">
        <w:rPr>
          <w:rFonts w:cs="Arial"/>
          <w:szCs w:val="22"/>
        </w:rPr>
        <w:t>oods on average by 0.85 g/100g</w:t>
      </w:r>
      <w:r w:rsidR="000376E1">
        <w:rPr>
          <w:rFonts w:cs="Arial"/>
          <w:szCs w:val="22"/>
        </w:rPr>
        <w:t>, and in dairy products by up to 0.6 g/100 g</w:t>
      </w:r>
      <w:r w:rsidR="000376E1">
        <w:rPr>
          <w:lang w:bidi="ar-SA"/>
        </w:rPr>
        <w:t>.</w:t>
      </w:r>
      <w:r w:rsidR="001A31D4" w:rsidRPr="001A31D4">
        <w:rPr>
          <w:rFonts w:cs="Arial"/>
          <w:szCs w:val="22"/>
        </w:rPr>
        <w:t xml:space="preserve"> </w:t>
      </w:r>
      <w:r w:rsidR="00391156">
        <w:rPr>
          <w:lang w:eastAsia="en-AU"/>
        </w:rPr>
        <w:t xml:space="preserve">Based on a survey undertaken by the applicant, </w:t>
      </w:r>
      <w:r w:rsidR="00391156">
        <w:rPr>
          <w:rFonts w:cs="Arial"/>
          <w:szCs w:val="22"/>
        </w:rPr>
        <w:t>GOS is not added to many general purpose foods in Australia or New Zealand (n=</w:t>
      </w:r>
      <w:r w:rsidR="001D3DEA">
        <w:rPr>
          <w:rFonts w:cs="Arial"/>
          <w:szCs w:val="22"/>
        </w:rPr>
        <w:t>5</w:t>
      </w:r>
      <w:r w:rsidR="00391156">
        <w:rPr>
          <w:rFonts w:cs="Arial"/>
          <w:szCs w:val="22"/>
        </w:rPr>
        <w:t xml:space="preserve">). </w:t>
      </w:r>
    </w:p>
    <w:p w14:paraId="1F4E6121" w14:textId="50BF18D1" w:rsidR="009D0ABC" w:rsidRPr="009D0ABC" w:rsidRDefault="00391156" w:rsidP="007C2774">
      <w:pPr>
        <w:widowControl/>
        <w:spacing w:before="120" w:after="240"/>
        <w:rPr>
          <w:lang w:eastAsia="en-AU"/>
        </w:rPr>
      </w:pPr>
      <w:r>
        <w:t>FSANZ is proposing to amend section S11—4 to permit AOAC 2017.16 as a new voluntary method of analysis to determine total dietary fibre in food</w:t>
      </w:r>
      <w:r w:rsidR="008F3016">
        <w:t>,</w:t>
      </w:r>
      <w:r>
        <w:t xml:space="preserve"> without restrictions</w:t>
      </w:r>
      <w:r w:rsidR="00C62454">
        <w:t>, for the following reasons</w:t>
      </w:r>
      <w:r w:rsidR="009D0ABC" w:rsidRPr="00391156">
        <w:rPr>
          <w:szCs w:val="22"/>
        </w:rPr>
        <w:t>:</w:t>
      </w:r>
    </w:p>
    <w:p w14:paraId="400637EE" w14:textId="77777777" w:rsidR="00C62454" w:rsidRDefault="00C62454" w:rsidP="00C62454">
      <w:pPr>
        <w:pStyle w:val="FSBullet1"/>
      </w:pPr>
      <w:r>
        <w:t xml:space="preserve">At present there is no single method of analysis that can comprehensively measure all low and high molecular weight dietary fibre. </w:t>
      </w:r>
      <w:r w:rsidRPr="00CE0260">
        <w:rPr>
          <w:lang w:eastAsia="en-AU"/>
        </w:rPr>
        <w:t xml:space="preserve">AOAC 2017.16 </w:t>
      </w:r>
      <w:r>
        <w:rPr>
          <w:lang w:eastAsia="en-AU"/>
        </w:rPr>
        <w:t>is the most comprehensive method FSANZ has assessed to date.</w:t>
      </w:r>
    </w:p>
    <w:p w14:paraId="499C88D1" w14:textId="2BB43D30" w:rsidR="00C62454" w:rsidRDefault="00C62454" w:rsidP="00C62454">
      <w:pPr>
        <w:pStyle w:val="FSBullet1"/>
        <w:rPr>
          <w:lang w:eastAsia="en-AU"/>
        </w:rPr>
      </w:pPr>
      <w:r>
        <w:rPr>
          <w:lang w:eastAsia="en-AU"/>
        </w:rPr>
        <w:t xml:space="preserve">AOAC 2017.16, like all methods of analysis, has limitations such as over or underestimation of dietary fibre. </w:t>
      </w:r>
      <w:r w:rsidR="00D3000D">
        <w:t>It is the role of m</w:t>
      </w:r>
      <w:r w:rsidR="00D3000D" w:rsidRPr="00265029">
        <w:t xml:space="preserve">anufacturers and analysts </w:t>
      </w:r>
      <w:r w:rsidR="00D3000D">
        <w:t xml:space="preserve">to </w:t>
      </w:r>
      <w:r w:rsidR="00D3000D" w:rsidRPr="00265029">
        <w:t>understand what each method</w:t>
      </w:r>
      <w:r w:rsidR="00D3000D">
        <w:t xml:space="preserve"> is</w:t>
      </w:r>
      <w:r w:rsidR="00D3000D" w:rsidRPr="00265029">
        <w:t xml:space="preserve"> </w:t>
      </w:r>
      <w:r w:rsidR="00D3000D">
        <w:t xml:space="preserve">best </w:t>
      </w:r>
      <w:r w:rsidR="00D3000D" w:rsidRPr="00265029">
        <w:t>suited for, including any limitations, and apply them to food samples appropriately</w:t>
      </w:r>
      <w:r w:rsidR="00D3000D">
        <w:t>.</w:t>
      </w:r>
    </w:p>
    <w:p w14:paraId="15398E39" w14:textId="77777777" w:rsidR="00C62454" w:rsidRDefault="00C62454" w:rsidP="00C62454">
      <w:pPr>
        <w:pStyle w:val="FSBullet1"/>
        <w:rPr>
          <w:lang w:eastAsia="en-AU"/>
        </w:rPr>
      </w:pPr>
      <w:r>
        <w:t>T</w:t>
      </w:r>
      <w:r w:rsidRPr="007C2774">
        <w:t>his is the most proportionate response given the advantages of the method for analysing foods containing both high and low molecular weight dietary fibr</w:t>
      </w:r>
      <w:r>
        <w:t xml:space="preserve">e. </w:t>
      </w:r>
    </w:p>
    <w:p w14:paraId="5C11E172" w14:textId="4677EDBA" w:rsidR="00C62454" w:rsidRPr="00265029" w:rsidRDefault="00C62454" w:rsidP="00C62454">
      <w:pPr>
        <w:pStyle w:val="FSBullet1"/>
        <w:rPr>
          <w:lang w:eastAsia="en-AU"/>
        </w:rPr>
      </w:pPr>
      <w:r>
        <w:t xml:space="preserve">The low levels of GOS in the food supply would not considerably alter food composition data, NIPs for dietary fibre or F point scores for the NPSC, therefore it is likely consumers will still be provided with sufficient information </w:t>
      </w:r>
      <w:r w:rsidRPr="004D60AC">
        <w:t xml:space="preserve">to </w:t>
      </w:r>
      <w:r>
        <w:t>enable</w:t>
      </w:r>
      <w:r w:rsidRPr="004D60AC">
        <w:t xml:space="preserve"> informed choices</w:t>
      </w:r>
      <w:r>
        <w:t xml:space="preserve"> on dietary fibre in food products. </w:t>
      </w:r>
      <w:r w:rsidR="00890E63">
        <w:t>IMO has not been assessed against the definition of dietary fibre, but as IMO is less prevalent that GOS the above can be inferred for IMO.</w:t>
      </w:r>
    </w:p>
    <w:p w14:paraId="3502A9DB" w14:textId="77777777" w:rsidR="00C62454" w:rsidRDefault="00C62454" w:rsidP="00C62454">
      <w:pPr>
        <w:pStyle w:val="FSBullet1"/>
        <w:rPr>
          <w:lang w:eastAsia="en-AU"/>
        </w:rPr>
      </w:pPr>
      <w:r>
        <w:t>T</w:t>
      </w:r>
      <w:r w:rsidRPr="007C2774">
        <w:t>his is the most proportionate response given the advantages of the method for analysing foods containing both high and low molecular weight dietary fibr</w:t>
      </w:r>
      <w:r>
        <w:t xml:space="preserve">e. </w:t>
      </w:r>
    </w:p>
    <w:p w14:paraId="423B0F6C" w14:textId="10ACCFD8" w:rsidR="00C62454" w:rsidRDefault="00C62454" w:rsidP="00C62454">
      <w:pPr>
        <w:pStyle w:val="FSBullet1"/>
      </w:pPr>
      <w:r>
        <w:rPr>
          <w:lang w:eastAsia="en-AU"/>
        </w:rPr>
        <w:t xml:space="preserve">This is a voluntary method that enables innovation by industry to measure total dietary fibre by a single more comprehensive method and </w:t>
      </w:r>
      <w:r>
        <w:t>e</w:t>
      </w:r>
      <w:r w:rsidRPr="009D0ABC">
        <w:t>nforcemen</w:t>
      </w:r>
      <w:r>
        <w:t>t agencies will not be significantly impacted by a permission for a</w:t>
      </w:r>
      <w:r w:rsidR="00704E75">
        <w:t>n additional method of analysis.</w:t>
      </w:r>
    </w:p>
    <w:p w14:paraId="6ECB8C68" w14:textId="6D1930D0" w:rsidR="00C62454" w:rsidRDefault="00C62454" w:rsidP="00C62454">
      <w:pPr>
        <w:pStyle w:val="FSBullet1"/>
        <w:rPr>
          <w:lang w:eastAsia="en-AU"/>
        </w:rPr>
      </w:pPr>
      <w:r>
        <w:rPr>
          <w:lang w:eastAsia="en-AU"/>
        </w:rPr>
        <w:t>The potential overestimate of total dietary fibre from GOS when measured by AOAC 2017.16 is at least proportionate to the current underestimate of total dietary fibre from FOS and total fructans by AOAC 985.29 and 991.43</w:t>
      </w:r>
      <w:r w:rsidR="00704E75">
        <w:rPr>
          <w:lang w:eastAsia="en-AU"/>
        </w:rPr>
        <w:t xml:space="preserve"> of about 4g/100g</w:t>
      </w:r>
      <w:r>
        <w:rPr>
          <w:lang w:eastAsia="en-AU"/>
        </w:rPr>
        <w:t xml:space="preserve">. </w:t>
      </w:r>
    </w:p>
    <w:p w14:paraId="04A97D8D" w14:textId="417A8B42" w:rsidR="00391156" w:rsidRPr="00D3000D" w:rsidRDefault="00C62454" w:rsidP="00D3000D">
      <w:pPr>
        <w:pStyle w:val="FSBullet1"/>
        <w:rPr>
          <w:lang w:eastAsia="en-AU"/>
        </w:rPr>
      </w:pPr>
      <w:r>
        <w:rPr>
          <w:lang w:eastAsia="en-AU"/>
        </w:rPr>
        <w:t xml:space="preserve">Permitting AOAC 2017.16 more closely harmonises the analysis of dietary fibre with Codex and countries comparable to Australia and New Zealand such as the European Union, United States and Canada </w:t>
      </w:r>
      <w:r w:rsidRPr="002B3BFA">
        <w:t xml:space="preserve">who </w:t>
      </w:r>
      <w:r>
        <w:rPr>
          <w:lang w:eastAsia="en-AU"/>
        </w:rPr>
        <w:t>have</w:t>
      </w:r>
      <w:r w:rsidRPr="002B3BFA">
        <w:t xml:space="preserve"> embraced newer methods of analysis</w:t>
      </w:r>
      <w:r>
        <w:rPr>
          <w:lang w:eastAsia="en-AU"/>
        </w:rPr>
        <w:t xml:space="preserve"> such as AOAC 2009.01 for total dietary fibre analysis.</w:t>
      </w:r>
    </w:p>
    <w:p w14:paraId="6C1C86E0" w14:textId="50B7E743" w:rsidR="00CE56F5" w:rsidRPr="004D60AC" w:rsidRDefault="00CE56F5" w:rsidP="00391156">
      <w:pPr>
        <w:widowControl/>
        <w:rPr>
          <w:rFonts w:cs="Arial"/>
          <w:szCs w:val="22"/>
        </w:rPr>
      </w:pPr>
      <w:r w:rsidRPr="004D60AC">
        <w:rPr>
          <w:rFonts w:cs="Arial"/>
          <w:szCs w:val="22"/>
        </w:rPr>
        <w:br w:type="page"/>
      </w:r>
    </w:p>
    <w:p w14:paraId="1D6F2967" w14:textId="03E78CB5" w:rsidR="00CE56F5" w:rsidRPr="00290C0C" w:rsidRDefault="00CE56F5">
      <w:pPr>
        <w:pStyle w:val="Heading1"/>
        <w:widowControl/>
      </w:pPr>
      <w:bookmarkStart w:id="12" w:name="_Toc300933417"/>
      <w:bookmarkStart w:id="13" w:name="_Toc67321494"/>
      <w:bookmarkStart w:id="14" w:name="_Toc69987902"/>
      <w:bookmarkStart w:id="15" w:name="_Toc70002624"/>
      <w:r w:rsidRPr="00290C0C">
        <w:lastRenderedPageBreak/>
        <w:t>1</w:t>
      </w:r>
      <w:r w:rsidRPr="00290C0C">
        <w:tab/>
        <w:t>Introduction</w:t>
      </w:r>
      <w:bookmarkEnd w:id="11"/>
      <w:bookmarkEnd w:id="12"/>
      <w:bookmarkEnd w:id="13"/>
      <w:bookmarkEnd w:id="14"/>
      <w:bookmarkEnd w:id="15"/>
    </w:p>
    <w:p w14:paraId="4C9408CB" w14:textId="1EEA5207" w:rsidR="00CE56F5" w:rsidRPr="006A1D0A" w:rsidRDefault="00CE56F5">
      <w:pPr>
        <w:pStyle w:val="Heading2"/>
        <w:widowControl/>
      </w:pPr>
      <w:bookmarkStart w:id="16" w:name="_Toc300761890"/>
      <w:bookmarkStart w:id="17" w:name="_Toc300933419"/>
      <w:bookmarkStart w:id="18" w:name="_Toc67321495"/>
      <w:bookmarkStart w:id="19" w:name="_Toc69987903"/>
      <w:bookmarkStart w:id="20" w:name="_Toc70002625"/>
      <w:r w:rsidRPr="006A1D0A">
        <w:t>1.1</w:t>
      </w:r>
      <w:r w:rsidRPr="006A1D0A">
        <w:tab/>
        <w:t>The Applicant</w:t>
      </w:r>
      <w:bookmarkEnd w:id="16"/>
      <w:bookmarkEnd w:id="17"/>
      <w:bookmarkEnd w:id="18"/>
      <w:bookmarkEnd w:id="19"/>
      <w:bookmarkEnd w:id="20"/>
    </w:p>
    <w:p w14:paraId="66222C4F" w14:textId="36315BBF" w:rsidR="00CE56F5" w:rsidRPr="004D60AC" w:rsidRDefault="00CE56F5" w:rsidP="00CE56F5">
      <w:pPr>
        <w:widowControl/>
        <w:autoSpaceDE w:val="0"/>
        <w:autoSpaceDN w:val="0"/>
        <w:adjustRightInd w:val="0"/>
        <w:rPr>
          <w:rFonts w:cs="Arial"/>
          <w:szCs w:val="22"/>
          <w:lang w:eastAsia="en-GB" w:bidi="ar-SA"/>
        </w:rPr>
      </w:pPr>
      <w:bookmarkStart w:id="21" w:name="_Toc300761891"/>
      <w:bookmarkStart w:id="22" w:name="_Toc300933420"/>
      <w:r w:rsidRPr="004D60AC">
        <w:rPr>
          <w:rFonts w:cs="Arial"/>
          <w:szCs w:val="22"/>
          <w:lang w:eastAsia="en-GB" w:bidi="ar-SA"/>
        </w:rPr>
        <w:t>The Grains and Legumes Nutrition Council (</w:t>
      </w:r>
      <w:r w:rsidR="001235EF">
        <w:rPr>
          <w:rFonts w:cs="Arial"/>
          <w:szCs w:val="22"/>
          <w:lang w:eastAsia="en-GB" w:bidi="ar-SA"/>
        </w:rPr>
        <w:t>the applicant</w:t>
      </w:r>
      <w:r w:rsidRPr="004D60AC">
        <w:rPr>
          <w:rFonts w:cs="Arial"/>
          <w:szCs w:val="22"/>
          <w:lang w:eastAsia="en-GB" w:bidi="ar-SA"/>
        </w:rPr>
        <w:t>) is a not</w:t>
      </w:r>
      <w:r w:rsidRPr="004D60AC">
        <w:rPr>
          <w:rFonts w:ascii="Cambria Math" w:hAnsi="Cambria Math" w:cs="Cambria Math"/>
          <w:szCs w:val="22"/>
          <w:lang w:eastAsia="en-GB" w:bidi="ar-SA"/>
        </w:rPr>
        <w:t>‐</w:t>
      </w:r>
      <w:r w:rsidRPr="004D60AC">
        <w:rPr>
          <w:rFonts w:cs="Arial"/>
          <w:szCs w:val="22"/>
          <w:lang w:eastAsia="en-GB" w:bidi="ar-SA"/>
        </w:rPr>
        <w:t>for</w:t>
      </w:r>
      <w:r w:rsidRPr="004D60AC">
        <w:rPr>
          <w:rFonts w:ascii="Cambria Math" w:hAnsi="Cambria Math" w:cs="Cambria Math"/>
          <w:szCs w:val="22"/>
          <w:lang w:eastAsia="en-GB" w:bidi="ar-SA"/>
        </w:rPr>
        <w:t>‐</w:t>
      </w:r>
      <w:r w:rsidR="00EF7822">
        <w:rPr>
          <w:rFonts w:cs="Arial"/>
          <w:szCs w:val="22"/>
          <w:lang w:eastAsia="en-GB" w:bidi="ar-SA"/>
        </w:rPr>
        <w:t xml:space="preserve">profit organisation </w:t>
      </w:r>
      <w:r w:rsidR="001235EF">
        <w:rPr>
          <w:rFonts w:cs="Arial"/>
          <w:szCs w:val="22"/>
          <w:lang w:eastAsia="en-GB" w:bidi="ar-SA"/>
        </w:rPr>
        <w:t>promoting</w:t>
      </w:r>
      <w:r w:rsidRPr="004D60AC">
        <w:rPr>
          <w:rFonts w:cs="Arial"/>
          <w:szCs w:val="22"/>
          <w:lang w:eastAsia="en-GB" w:bidi="ar-SA"/>
        </w:rPr>
        <w:t xml:space="preserve"> the nutrition and health</w:t>
      </w:r>
      <w:r w:rsidR="00EF7822">
        <w:rPr>
          <w:rFonts w:cs="Arial"/>
          <w:szCs w:val="22"/>
          <w:lang w:eastAsia="en-GB" w:bidi="ar-SA"/>
        </w:rPr>
        <w:t xml:space="preserve"> benefits of grains and legumes. The </w:t>
      </w:r>
      <w:r w:rsidR="00A56204">
        <w:rPr>
          <w:rFonts w:cs="Arial"/>
          <w:szCs w:val="22"/>
          <w:lang w:eastAsia="en-GB" w:bidi="ar-SA"/>
        </w:rPr>
        <w:t>applicant’s</w:t>
      </w:r>
      <w:r w:rsidR="00EF7822">
        <w:rPr>
          <w:rFonts w:cs="Arial"/>
          <w:szCs w:val="22"/>
          <w:lang w:eastAsia="en-GB" w:bidi="ar-SA"/>
        </w:rPr>
        <w:t xml:space="preserve"> </w:t>
      </w:r>
      <w:r w:rsidR="00EF7822" w:rsidRPr="00EF7822">
        <w:rPr>
          <w:rFonts w:cs="Arial"/>
          <w:szCs w:val="22"/>
          <w:lang w:eastAsia="en-GB" w:bidi="ar-SA"/>
        </w:rPr>
        <w:t xml:space="preserve">mission is to promote grains </w:t>
      </w:r>
      <w:r w:rsidR="00EF7822">
        <w:rPr>
          <w:rFonts w:cs="Arial"/>
          <w:szCs w:val="22"/>
          <w:lang w:eastAsia="en-GB" w:bidi="ar-SA"/>
        </w:rPr>
        <w:t>and</w:t>
      </w:r>
      <w:r w:rsidR="00EF7822" w:rsidRPr="00EF7822">
        <w:rPr>
          <w:rFonts w:cs="Arial"/>
          <w:szCs w:val="22"/>
          <w:lang w:eastAsia="en-GB" w:bidi="ar-SA"/>
        </w:rPr>
        <w:t xml:space="preserve"> legumes as part of a balanced diet through evidence-based information, while supporting the industry to benefit all Australians.</w:t>
      </w:r>
      <w:r w:rsidR="00EF7822">
        <w:rPr>
          <w:rFonts w:cs="Arial"/>
          <w:szCs w:val="22"/>
          <w:lang w:eastAsia="en-GB" w:bidi="ar-SA"/>
        </w:rPr>
        <w:t xml:space="preserve"> </w:t>
      </w:r>
      <w:r w:rsidR="001235EF">
        <w:rPr>
          <w:rFonts w:cs="Arial"/>
          <w:szCs w:val="22"/>
        </w:rPr>
        <w:t xml:space="preserve">This </w:t>
      </w:r>
      <w:r w:rsidRPr="004D60AC">
        <w:rPr>
          <w:rFonts w:cs="Arial"/>
          <w:szCs w:val="22"/>
        </w:rPr>
        <w:t xml:space="preserve">application </w:t>
      </w:r>
      <w:r w:rsidR="001235EF">
        <w:rPr>
          <w:rFonts w:cs="Arial"/>
          <w:szCs w:val="22"/>
        </w:rPr>
        <w:t xml:space="preserve">was submitted by the applicant </w:t>
      </w:r>
      <w:r w:rsidRPr="004D60AC">
        <w:rPr>
          <w:rFonts w:cs="Arial"/>
          <w:szCs w:val="22"/>
        </w:rPr>
        <w:t xml:space="preserve">on behalf of </w:t>
      </w:r>
      <w:r w:rsidR="001235EF">
        <w:rPr>
          <w:rFonts w:cs="Arial"/>
          <w:szCs w:val="22"/>
        </w:rPr>
        <w:t xml:space="preserve">its </w:t>
      </w:r>
      <w:r w:rsidR="00EF7822" w:rsidRPr="004D60AC">
        <w:rPr>
          <w:rFonts w:cs="Arial"/>
          <w:szCs w:val="22"/>
        </w:rPr>
        <w:t xml:space="preserve">Australian </w:t>
      </w:r>
      <w:r w:rsidR="001235EF">
        <w:rPr>
          <w:rFonts w:cs="Arial"/>
          <w:szCs w:val="22"/>
        </w:rPr>
        <w:t>member</w:t>
      </w:r>
      <w:r w:rsidRPr="004D60AC">
        <w:rPr>
          <w:rFonts w:cs="Arial"/>
          <w:szCs w:val="22"/>
        </w:rPr>
        <w:t xml:space="preserve"> grains and cereal manufacturers.</w:t>
      </w:r>
    </w:p>
    <w:p w14:paraId="480AC75D" w14:textId="77777777" w:rsidR="00CE56F5" w:rsidRPr="00290C0C" w:rsidRDefault="00CE56F5" w:rsidP="009B7549">
      <w:pPr>
        <w:pStyle w:val="Heading2"/>
        <w:widowControl/>
      </w:pPr>
      <w:bookmarkStart w:id="23" w:name="_Toc67321496"/>
      <w:bookmarkStart w:id="24" w:name="_Toc69987904"/>
      <w:bookmarkStart w:id="25" w:name="_Toc70002626"/>
      <w:r w:rsidRPr="00290C0C">
        <w:t>1.2</w:t>
      </w:r>
      <w:r w:rsidRPr="00290C0C">
        <w:tab/>
        <w:t>The Application</w:t>
      </w:r>
      <w:bookmarkEnd w:id="21"/>
      <w:bookmarkEnd w:id="22"/>
      <w:bookmarkEnd w:id="23"/>
      <w:bookmarkEnd w:id="24"/>
      <w:bookmarkEnd w:id="25"/>
    </w:p>
    <w:p w14:paraId="6B05FC15" w14:textId="04CFDFB7" w:rsidR="00CE56F5" w:rsidRPr="004D60AC" w:rsidRDefault="00CE56F5" w:rsidP="009B7549">
      <w:pPr>
        <w:widowControl/>
        <w:spacing w:after="240"/>
      </w:pPr>
      <w:bookmarkStart w:id="26" w:name="_Toc300761892"/>
      <w:bookmarkStart w:id="27" w:name="_Toc300933421"/>
      <w:r w:rsidRPr="004D60AC">
        <w:t xml:space="preserve">In May 2019, </w:t>
      </w:r>
      <w:r w:rsidR="001235EF">
        <w:t>the applicant</w:t>
      </w:r>
      <w:r w:rsidRPr="004D60AC">
        <w:t xml:space="preserve"> </w:t>
      </w:r>
      <w:r w:rsidR="001235EF">
        <w:t>applied</w:t>
      </w:r>
      <w:r w:rsidRPr="004D60AC">
        <w:t xml:space="preserve"> to amend section S11—4 of the </w:t>
      </w:r>
      <w:r w:rsidRPr="00FD3413">
        <w:t>Australia New Zealand Food Standards Code</w:t>
      </w:r>
      <w:r w:rsidRPr="004D60AC">
        <w:rPr>
          <w:i/>
        </w:rPr>
        <w:t xml:space="preserve"> </w:t>
      </w:r>
      <w:r w:rsidRPr="004D60AC">
        <w:t xml:space="preserve">(the Code) to </w:t>
      </w:r>
      <w:r w:rsidR="003E7CE1">
        <w:t xml:space="preserve">permit </w:t>
      </w:r>
      <w:r w:rsidR="00074709" w:rsidRPr="00074709">
        <w:rPr>
          <w:i/>
        </w:rPr>
        <w:t>AOAC Method 2017.16 -</w:t>
      </w:r>
      <w:r w:rsidR="003E7CE1" w:rsidRPr="00074709">
        <w:rPr>
          <w:i/>
        </w:rPr>
        <w:t xml:space="preserve"> Rapid Integrated Total Dietary Fibre Method</w:t>
      </w:r>
      <w:r w:rsidR="003E7CE1">
        <w:t xml:space="preserve"> </w:t>
      </w:r>
      <w:r w:rsidR="00074709">
        <w:t>(AOAC 2017.16)</w:t>
      </w:r>
      <w:r w:rsidR="001235EF">
        <w:t xml:space="preserve">, as a new method of analysis for measuring </w:t>
      </w:r>
      <w:r w:rsidR="00131BC3">
        <w:t>total</w:t>
      </w:r>
      <w:r w:rsidR="001235EF">
        <w:t xml:space="preserve"> dietary fibre</w:t>
      </w:r>
      <w:r w:rsidR="001D3DEA">
        <w:rPr>
          <w:rStyle w:val="FootnoteReference"/>
        </w:rPr>
        <w:footnoteReference w:id="3"/>
      </w:r>
      <w:r w:rsidR="001235EF">
        <w:t xml:space="preserve"> content in a food and food ingredient</w:t>
      </w:r>
      <w:r w:rsidR="007A4782">
        <w:t>s</w:t>
      </w:r>
      <w:r w:rsidR="00074709">
        <w:t>. The method is listed in the Official Methods of Analysis of AOAC International</w:t>
      </w:r>
      <w:r w:rsidR="00924C27">
        <w:t>,</w:t>
      </w:r>
      <w:r w:rsidR="001235EF">
        <w:t xml:space="preserve"> </w:t>
      </w:r>
      <w:r w:rsidR="00924C27" w:rsidRPr="001D6108">
        <w:rPr>
          <w:szCs w:val="22"/>
        </w:rPr>
        <w:t>twenty first edition, 2019</w:t>
      </w:r>
      <w:r w:rsidR="00924C27">
        <w:rPr>
          <w:i/>
          <w:szCs w:val="22"/>
        </w:rPr>
        <w:t xml:space="preserve"> </w:t>
      </w:r>
      <w:r w:rsidR="001235EF">
        <w:t>(AOAC 2019)</w:t>
      </w:r>
      <w:r w:rsidR="00BE05E9">
        <w:t xml:space="preserve">. At time of application submission, AOAC 2017.16 had obtained AOAC ‘first action’ status (where </w:t>
      </w:r>
      <w:r w:rsidR="001235EF">
        <w:t>the method was validated by</w:t>
      </w:r>
      <w:r w:rsidR="008C5583">
        <w:t xml:space="preserve"> an inter-laboratory evaluation</w:t>
      </w:r>
      <w:r w:rsidR="00BE05E9">
        <w:t>)</w:t>
      </w:r>
      <w:r w:rsidR="008C5583">
        <w:t>.</w:t>
      </w:r>
    </w:p>
    <w:p w14:paraId="602B057B" w14:textId="57E997EF" w:rsidR="009F1342" w:rsidRDefault="00CE56F5" w:rsidP="009B7549">
      <w:pPr>
        <w:widowControl/>
        <w:spacing w:after="240"/>
      </w:pPr>
      <w:r w:rsidRPr="004D60AC">
        <w:t>The applica</w:t>
      </w:r>
      <w:r w:rsidR="00074709">
        <w:t>tion</w:t>
      </w:r>
      <w:r w:rsidR="00460119">
        <w:t xml:space="preserve"> </w:t>
      </w:r>
      <w:r w:rsidR="009360FE">
        <w:t>seeks to permit</w:t>
      </w:r>
      <w:r w:rsidR="009360FE" w:rsidRPr="004D60AC">
        <w:t xml:space="preserve"> </w:t>
      </w:r>
      <w:r w:rsidR="00F015E7">
        <w:t xml:space="preserve">AOAC 2017.16 as </w:t>
      </w:r>
      <w:r w:rsidR="00460119">
        <w:t>an additional</w:t>
      </w:r>
      <w:r w:rsidR="00460119" w:rsidRPr="004D60AC">
        <w:t xml:space="preserve"> method </w:t>
      </w:r>
      <w:r w:rsidR="00F015E7">
        <w:t xml:space="preserve">of analysis that captures </w:t>
      </w:r>
      <w:r w:rsidR="00131BC3">
        <w:t>total</w:t>
      </w:r>
      <w:r w:rsidR="00F015E7">
        <w:t xml:space="preserve"> dietary fibre</w:t>
      </w:r>
      <w:r w:rsidR="009F1342">
        <w:t xml:space="preserve"> as defined by Standard 1.1.2</w:t>
      </w:r>
      <w:r w:rsidR="009360FE">
        <w:t xml:space="preserve"> in the Code</w:t>
      </w:r>
      <w:r w:rsidR="00074709">
        <w:t xml:space="preserve">. </w:t>
      </w:r>
      <w:r w:rsidR="001E2C1A">
        <w:t xml:space="preserve">AOAC 2017.16 is a single </w:t>
      </w:r>
      <w:r w:rsidR="00921793">
        <w:rPr>
          <w:rFonts w:cs="Arial"/>
          <w:szCs w:val="22"/>
        </w:rPr>
        <w:t>method measur</w:t>
      </w:r>
      <w:r w:rsidR="00383187">
        <w:rPr>
          <w:rFonts w:cs="Arial"/>
          <w:szCs w:val="22"/>
        </w:rPr>
        <w:t>ing</w:t>
      </w:r>
      <w:r w:rsidR="009F1342" w:rsidRPr="00671283">
        <w:rPr>
          <w:rFonts w:cs="Arial"/>
          <w:szCs w:val="22"/>
        </w:rPr>
        <w:t xml:space="preserve"> all dietary fibre </w:t>
      </w:r>
      <w:r w:rsidR="009360FE">
        <w:rPr>
          <w:rFonts w:cs="Arial"/>
          <w:szCs w:val="22"/>
        </w:rPr>
        <w:t>components</w:t>
      </w:r>
      <w:r w:rsidR="001E2C1A">
        <w:rPr>
          <w:rFonts w:cs="Arial"/>
          <w:szCs w:val="22"/>
        </w:rPr>
        <w:t>,</w:t>
      </w:r>
      <w:r w:rsidR="009360FE" w:rsidRPr="00671283">
        <w:rPr>
          <w:rFonts w:cs="Arial"/>
          <w:szCs w:val="22"/>
        </w:rPr>
        <w:t xml:space="preserve"> </w:t>
      </w:r>
      <w:r w:rsidR="00921793">
        <w:rPr>
          <w:rFonts w:cs="Arial"/>
          <w:szCs w:val="22"/>
        </w:rPr>
        <w:t xml:space="preserve">which </w:t>
      </w:r>
      <w:r w:rsidR="009F1342">
        <w:rPr>
          <w:rFonts w:cs="Arial"/>
          <w:szCs w:val="22"/>
        </w:rPr>
        <w:t xml:space="preserve">currently </w:t>
      </w:r>
      <w:r w:rsidR="001D3DEA">
        <w:rPr>
          <w:rFonts w:cs="Arial"/>
          <w:szCs w:val="22"/>
        </w:rPr>
        <w:t xml:space="preserve">can only be </w:t>
      </w:r>
      <w:r w:rsidR="009F1342" w:rsidRPr="00671283">
        <w:rPr>
          <w:rFonts w:cs="Arial"/>
          <w:szCs w:val="22"/>
        </w:rPr>
        <w:t xml:space="preserve">measured </w:t>
      </w:r>
      <w:r w:rsidR="009F1342" w:rsidRPr="002C0E5D">
        <w:rPr>
          <w:rFonts w:cs="Arial"/>
          <w:szCs w:val="22"/>
        </w:rPr>
        <w:t xml:space="preserve">by </w:t>
      </w:r>
      <w:r w:rsidR="001E2C1A" w:rsidRPr="002C0E5D">
        <w:rPr>
          <w:rFonts w:cs="Arial"/>
          <w:szCs w:val="22"/>
        </w:rPr>
        <w:t>applying</w:t>
      </w:r>
      <w:r w:rsidR="001D3DEA" w:rsidRPr="002C0E5D">
        <w:rPr>
          <w:rFonts w:cs="Arial"/>
          <w:szCs w:val="22"/>
        </w:rPr>
        <w:t xml:space="preserve"> one </w:t>
      </w:r>
      <w:r w:rsidR="001D3DEA">
        <w:rPr>
          <w:rFonts w:cs="Arial"/>
          <w:szCs w:val="22"/>
        </w:rPr>
        <w:t xml:space="preserve">method </w:t>
      </w:r>
      <w:r w:rsidR="001E2C1A">
        <w:rPr>
          <w:rFonts w:cs="Arial"/>
          <w:szCs w:val="22"/>
        </w:rPr>
        <w:t xml:space="preserve">measuring total dietary fibre in </w:t>
      </w:r>
      <w:r w:rsidR="001D3DEA">
        <w:rPr>
          <w:rFonts w:cs="Arial"/>
          <w:szCs w:val="22"/>
        </w:rPr>
        <w:t>combin</w:t>
      </w:r>
      <w:r w:rsidR="001E2C1A">
        <w:rPr>
          <w:rFonts w:cs="Arial"/>
          <w:szCs w:val="22"/>
        </w:rPr>
        <w:t>ation</w:t>
      </w:r>
      <w:r w:rsidR="001D3DEA">
        <w:rPr>
          <w:rFonts w:cs="Arial"/>
          <w:szCs w:val="22"/>
        </w:rPr>
        <w:t xml:space="preserve"> with multiple</w:t>
      </w:r>
      <w:r w:rsidR="001D3DEA" w:rsidRPr="00671283">
        <w:rPr>
          <w:rFonts w:cs="Arial"/>
          <w:szCs w:val="22"/>
        </w:rPr>
        <w:t xml:space="preserve"> </w:t>
      </w:r>
      <w:r w:rsidR="001E2C1A">
        <w:rPr>
          <w:rFonts w:cs="Arial"/>
          <w:szCs w:val="22"/>
        </w:rPr>
        <w:t xml:space="preserve">other </w:t>
      </w:r>
      <w:r w:rsidR="009F1342" w:rsidRPr="00671283">
        <w:rPr>
          <w:rFonts w:cs="Arial"/>
          <w:szCs w:val="22"/>
        </w:rPr>
        <w:t>methods</w:t>
      </w:r>
      <w:r w:rsidR="001E2C1A">
        <w:rPr>
          <w:rFonts w:cs="Arial"/>
          <w:szCs w:val="22"/>
        </w:rPr>
        <w:t xml:space="preserve"> measuring specifically named</w:t>
      </w:r>
      <w:r w:rsidR="001E2C1A" w:rsidRPr="00671283">
        <w:rPr>
          <w:rFonts w:cs="Arial"/>
          <w:szCs w:val="22"/>
        </w:rPr>
        <w:t xml:space="preserve"> </w:t>
      </w:r>
      <w:r w:rsidR="001E2C1A">
        <w:rPr>
          <w:rFonts w:cs="Arial"/>
          <w:szCs w:val="22"/>
        </w:rPr>
        <w:t>dietary fibre</w:t>
      </w:r>
      <w:r w:rsidR="00876264">
        <w:rPr>
          <w:rStyle w:val="FootnoteReference"/>
          <w:rFonts w:cs="Arial"/>
          <w:szCs w:val="22"/>
        </w:rPr>
        <w:footnoteReference w:id="4"/>
      </w:r>
      <w:r w:rsidR="009F1342">
        <w:rPr>
          <w:rFonts w:cs="Arial"/>
          <w:szCs w:val="22"/>
        </w:rPr>
        <w:t xml:space="preserve"> (such as </w:t>
      </w:r>
      <w:r w:rsidR="005914CC">
        <w:t>fructans</w:t>
      </w:r>
      <w:r w:rsidR="00921793">
        <w:t>, p</w:t>
      </w:r>
      <w:r w:rsidR="003752DF">
        <w:t>olydextrose</w:t>
      </w:r>
      <w:r w:rsidR="005914CC">
        <w:t xml:space="preserve"> and resistant starch</w:t>
      </w:r>
      <w:r w:rsidR="009F1342">
        <w:t>).</w:t>
      </w:r>
      <w:r w:rsidR="009F1342" w:rsidRPr="00671283">
        <w:rPr>
          <w:rFonts w:cs="Arial"/>
          <w:szCs w:val="22"/>
        </w:rPr>
        <w:t xml:space="preserve"> </w:t>
      </w:r>
      <w:r w:rsidR="001D3DEA">
        <w:rPr>
          <w:rFonts w:cs="Arial"/>
          <w:szCs w:val="22"/>
        </w:rPr>
        <w:t>The application highlights AOAC 2017.16</w:t>
      </w:r>
      <w:r w:rsidR="009F1342">
        <w:rPr>
          <w:rFonts w:cs="Arial"/>
          <w:szCs w:val="22"/>
        </w:rPr>
        <w:t xml:space="preserve"> measures galacto-oligosaccharides </w:t>
      </w:r>
      <w:r w:rsidR="0067780D">
        <w:t>(GOS)</w:t>
      </w:r>
      <w:r w:rsidR="001D3DEA">
        <w:t>, which FSANZ considered against the Code’s definition of dietary fibre as part of its assessment.</w:t>
      </w:r>
    </w:p>
    <w:p w14:paraId="0AAA587D" w14:textId="5D2E13BC" w:rsidR="001C3BFD" w:rsidRDefault="001C3BFD" w:rsidP="009B7549">
      <w:pPr>
        <w:widowControl/>
        <w:spacing w:after="240"/>
      </w:pPr>
      <w:r>
        <w:rPr>
          <w:rFonts w:cs="Arial"/>
          <w:szCs w:val="22"/>
        </w:rPr>
        <w:t xml:space="preserve">The application presented 2019 </w:t>
      </w:r>
      <w:r w:rsidRPr="005914CC">
        <w:rPr>
          <w:rFonts w:cs="Arial"/>
          <w:szCs w:val="22"/>
        </w:rPr>
        <w:t>cost data</w:t>
      </w:r>
      <w:r>
        <w:rPr>
          <w:rFonts w:cs="Arial"/>
          <w:szCs w:val="22"/>
        </w:rPr>
        <w:t xml:space="preserve"> for use of analytical methods </w:t>
      </w:r>
      <w:r w:rsidR="00921793">
        <w:rPr>
          <w:rFonts w:cs="Arial"/>
          <w:szCs w:val="22"/>
        </w:rPr>
        <w:t xml:space="preserve">currently </w:t>
      </w:r>
      <w:r>
        <w:rPr>
          <w:rFonts w:cs="Arial"/>
          <w:szCs w:val="22"/>
        </w:rPr>
        <w:t xml:space="preserve">in the Code which indicated that AOAC 2017.16 is almost </w:t>
      </w:r>
      <w:r w:rsidR="00921793">
        <w:rPr>
          <w:rFonts w:cs="Arial"/>
          <w:szCs w:val="22"/>
        </w:rPr>
        <w:t>three</w:t>
      </w:r>
      <w:r>
        <w:rPr>
          <w:rFonts w:cs="Arial"/>
          <w:szCs w:val="22"/>
        </w:rPr>
        <w:t xml:space="preserve"> times more </w:t>
      </w:r>
      <w:r w:rsidR="00921793">
        <w:rPr>
          <w:rFonts w:cs="Arial"/>
          <w:szCs w:val="22"/>
        </w:rPr>
        <w:t>expensive</w:t>
      </w:r>
      <w:r>
        <w:rPr>
          <w:rFonts w:cs="Arial"/>
          <w:szCs w:val="22"/>
        </w:rPr>
        <w:t xml:space="preserve"> than AOAC 985.29 (i.e. $635 compared to $230 per food sample analysis, respectively). </w:t>
      </w:r>
      <w:r w:rsidRPr="005914CC">
        <w:rPr>
          <w:rFonts w:cs="Arial"/>
          <w:szCs w:val="22"/>
        </w:rPr>
        <w:t xml:space="preserve">The applicant also indicated that the 2019 cost of AOAC 2017.16 was lower than the cumulative cost of applying </w:t>
      </w:r>
      <w:r>
        <w:rPr>
          <w:rFonts w:cs="Arial"/>
          <w:szCs w:val="22"/>
        </w:rPr>
        <w:t xml:space="preserve">a </w:t>
      </w:r>
      <w:r w:rsidR="00131BC3">
        <w:rPr>
          <w:rFonts w:cs="Arial"/>
          <w:szCs w:val="22"/>
        </w:rPr>
        <w:t>total</w:t>
      </w:r>
      <w:r>
        <w:rPr>
          <w:rFonts w:cs="Arial"/>
          <w:szCs w:val="22"/>
        </w:rPr>
        <w:t xml:space="preserve"> dietary fibre method (for </w:t>
      </w:r>
      <w:r w:rsidRPr="005914CC">
        <w:rPr>
          <w:rFonts w:cs="Arial"/>
          <w:szCs w:val="22"/>
        </w:rPr>
        <w:t>high molecular weight dietary fibre (HMWDF)</w:t>
      </w:r>
      <w:r>
        <w:rPr>
          <w:rFonts w:cs="Arial"/>
          <w:szCs w:val="22"/>
        </w:rPr>
        <w:t>)</w:t>
      </w:r>
      <w:r w:rsidRPr="005914CC">
        <w:rPr>
          <w:rFonts w:cs="Arial"/>
          <w:szCs w:val="22"/>
        </w:rPr>
        <w:t xml:space="preserve"> </w:t>
      </w:r>
      <w:r w:rsidR="0067780D">
        <w:rPr>
          <w:rFonts w:cs="Arial"/>
          <w:szCs w:val="22"/>
        </w:rPr>
        <w:t>with</w:t>
      </w:r>
      <w:r>
        <w:rPr>
          <w:rFonts w:cs="Arial"/>
          <w:szCs w:val="22"/>
        </w:rPr>
        <w:t xml:space="preserve"> two or more methods </w:t>
      </w:r>
      <w:r w:rsidR="0067780D">
        <w:rPr>
          <w:rFonts w:cs="Arial"/>
          <w:szCs w:val="22"/>
        </w:rPr>
        <w:t>for</w:t>
      </w:r>
      <w:r>
        <w:rPr>
          <w:rFonts w:cs="Arial"/>
          <w:szCs w:val="22"/>
        </w:rPr>
        <w:t xml:space="preserve"> a specifically named dietary fibre (often for </w:t>
      </w:r>
      <w:r w:rsidRPr="005914CC">
        <w:rPr>
          <w:rFonts w:cs="Arial"/>
          <w:szCs w:val="22"/>
        </w:rPr>
        <w:t>low molecular weight dietary fibre (LMWDF)</w:t>
      </w:r>
      <w:r>
        <w:rPr>
          <w:rFonts w:cs="Arial"/>
          <w:szCs w:val="22"/>
        </w:rPr>
        <w:t xml:space="preserve"> or resistant starch)</w:t>
      </w:r>
      <w:r w:rsidRPr="005914CC">
        <w:rPr>
          <w:rFonts w:cs="Arial"/>
          <w:szCs w:val="22"/>
        </w:rPr>
        <w:t xml:space="preserve"> to determine a </w:t>
      </w:r>
      <w:r w:rsidR="00131BC3">
        <w:rPr>
          <w:rFonts w:cs="Arial"/>
          <w:szCs w:val="22"/>
        </w:rPr>
        <w:t>total</w:t>
      </w:r>
      <w:r w:rsidRPr="005914CC">
        <w:rPr>
          <w:rFonts w:cs="Arial"/>
          <w:szCs w:val="22"/>
        </w:rPr>
        <w:t xml:space="preserve"> dietary fibre value </w:t>
      </w:r>
      <w:r w:rsidR="0067780D">
        <w:rPr>
          <w:rFonts w:cs="Arial"/>
          <w:szCs w:val="22"/>
        </w:rPr>
        <w:t>that aligns with that analysed by</w:t>
      </w:r>
      <w:r w:rsidRPr="005914CC">
        <w:rPr>
          <w:rFonts w:cs="Arial"/>
          <w:szCs w:val="22"/>
        </w:rPr>
        <w:t xml:space="preserve"> AOAC 2017.16.</w:t>
      </w:r>
    </w:p>
    <w:p w14:paraId="0F7DA186" w14:textId="07ABAF5C" w:rsidR="00CE56F5" w:rsidRPr="00E87A2A" w:rsidRDefault="00CE56F5" w:rsidP="003663FF">
      <w:pPr>
        <w:pStyle w:val="Heading2"/>
        <w:widowControl/>
      </w:pPr>
      <w:bookmarkStart w:id="28" w:name="_Toc67321499"/>
      <w:bookmarkStart w:id="29" w:name="_Toc69987905"/>
      <w:bookmarkStart w:id="30" w:name="_Toc70002627"/>
      <w:r w:rsidRPr="00E87A2A">
        <w:t>1.</w:t>
      </w:r>
      <w:r w:rsidR="00387B6A">
        <w:t>3</w:t>
      </w:r>
      <w:r w:rsidRPr="00E87A2A">
        <w:tab/>
        <w:t>The current standard</w:t>
      </w:r>
      <w:bookmarkEnd w:id="26"/>
      <w:bookmarkEnd w:id="27"/>
      <w:r w:rsidRPr="00E87A2A">
        <w:t>s</w:t>
      </w:r>
      <w:bookmarkEnd w:id="28"/>
      <w:bookmarkEnd w:id="29"/>
      <w:bookmarkEnd w:id="30"/>
    </w:p>
    <w:p w14:paraId="7D375AAE" w14:textId="7A4CFE5C" w:rsidR="00387B6A" w:rsidRPr="00365141" w:rsidRDefault="00387B6A" w:rsidP="00387B6A">
      <w:r w:rsidRPr="00365141">
        <w:rPr>
          <w:rFonts w:cs="Arial"/>
          <w:szCs w:val="22"/>
          <w:lang w:eastAsia="en-GB" w:bidi="ar-SA"/>
        </w:rPr>
        <w:t>Australian and New Zealand food laws require food for sale to comply with the following requirements in the Code.</w:t>
      </w:r>
      <w:r w:rsidR="00013483" w:rsidRPr="00365141" w:rsidDel="00013483">
        <w:rPr>
          <w:rFonts w:ascii="Segoe UI" w:hAnsi="Segoe UI" w:cs="Segoe UI"/>
          <w:vanish/>
          <w:sz w:val="20"/>
          <w:szCs w:val="20"/>
        </w:rPr>
        <w:t xml:space="preserve"> </w:t>
      </w:r>
    </w:p>
    <w:p w14:paraId="3B6A7054" w14:textId="12A64D11" w:rsidR="00E87A2A" w:rsidRPr="00365141" w:rsidRDefault="00E87A2A">
      <w:pPr>
        <w:pStyle w:val="Heading3"/>
        <w:widowControl/>
        <w:rPr>
          <w:color w:val="auto"/>
        </w:rPr>
      </w:pPr>
      <w:bookmarkStart w:id="31" w:name="_Toc67321500"/>
      <w:bookmarkStart w:id="32" w:name="_Toc69987906"/>
      <w:bookmarkStart w:id="33" w:name="_Toc70002628"/>
      <w:r w:rsidRPr="00365141">
        <w:rPr>
          <w:color w:val="auto"/>
        </w:rPr>
        <w:t>1.</w:t>
      </w:r>
      <w:r w:rsidR="00387B6A" w:rsidRPr="00365141">
        <w:rPr>
          <w:color w:val="auto"/>
        </w:rPr>
        <w:t>3</w:t>
      </w:r>
      <w:r w:rsidRPr="00365141">
        <w:rPr>
          <w:color w:val="auto"/>
        </w:rPr>
        <w:t>.1</w:t>
      </w:r>
      <w:r w:rsidRPr="00365141">
        <w:rPr>
          <w:color w:val="auto"/>
        </w:rPr>
        <w:tab/>
      </w:r>
      <w:r w:rsidR="00621AFB" w:rsidRPr="00365141">
        <w:rPr>
          <w:color w:val="auto"/>
        </w:rPr>
        <w:t>Regulation of dietary fibre</w:t>
      </w:r>
      <w:bookmarkEnd w:id="31"/>
      <w:bookmarkEnd w:id="32"/>
      <w:bookmarkEnd w:id="33"/>
    </w:p>
    <w:p w14:paraId="692B842F" w14:textId="78D93F84" w:rsidR="00CE56F5" w:rsidRDefault="00CE56F5">
      <w:pPr>
        <w:widowControl/>
        <w:spacing w:after="240"/>
        <w:rPr>
          <w:rFonts w:cs="Arial"/>
          <w:szCs w:val="22"/>
        </w:rPr>
      </w:pPr>
      <w:r w:rsidRPr="004D60AC">
        <w:rPr>
          <w:rFonts w:cs="Arial"/>
          <w:szCs w:val="22"/>
        </w:rPr>
        <w:t xml:space="preserve">Standard 1.1.2 – </w:t>
      </w:r>
      <w:r w:rsidRPr="004D60AC">
        <w:rPr>
          <w:rFonts w:cs="Arial"/>
          <w:i/>
          <w:szCs w:val="22"/>
        </w:rPr>
        <w:t xml:space="preserve">Definitions </w:t>
      </w:r>
      <w:r w:rsidR="00AA0060">
        <w:rPr>
          <w:rFonts w:cs="Arial"/>
          <w:szCs w:val="22"/>
        </w:rPr>
        <w:t>defines dietary fibre</w:t>
      </w:r>
      <w:r w:rsidR="0024016A">
        <w:rPr>
          <w:rFonts w:cs="Arial"/>
          <w:szCs w:val="22"/>
        </w:rPr>
        <w:t xml:space="preserve"> as</w:t>
      </w:r>
      <w:r w:rsidR="00C648F8">
        <w:rPr>
          <w:rFonts w:cs="Arial"/>
          <w:szCs w:val="22"/>
        </w:rPr>
        <w:t xml:space="preserve"> follows</w:t>
      </w:r>
      <w:r w:rsidR="0024016A">
        <w:rPr>
          <w:rFonts w:cs="Arial"/>
          <w:szCs w:val="22"/>
        </w:rPr>
        <w:t>:</w:t>
      </w:r>
    </w:p>
    <w:tbl>
      <w:tblPr>
        <w:tblStyle w:val="TableGrid"/>
        <w:tblW w:w="0" w:type="auto"/>
        <w:tblLook w:val="04A0" w:firstRow="1" w:lastRow="0" w:firstColumn="1" w:lastColumn="0" w:noHBand="0" w:noVBand="1"/>
        <w:tblDescription w:val="The Code's dietary fibre definition"/>
      </w:tblPr>
      <w:tblGrid>
        <w:gridCol w:w="9060"/>
      </w:tblGrid>
      <w:tr w:rsidR="006B4034" w14:paraId="41EC1BCD" w14:textId="77777777" w:rsidTr="006B4034">
        <w:tc>
          <w:tcPr>
            <w:tcW w:w="9060" w:type="dxa"/>
          </w:tcPr>
          <w:p w14:paraId="0CE90245" w14:textId="77777777" w:rsidR="006B4034" w:rsidRPr="004D60AC" w:rsidRDefault="006B4034" w:rsidP="006B4034">
            <w:pPr>
              <w:widowControl/>
              <w:shd w:val="clear" w:color="auto" w:fill="FFFFFF"/>
              <w:spacing w:before="240" w:after="40"/>
              <w:rPr>
                <w:rFonts w:cs="Arial"/>
                <w:szCs w:val="22"/>
                <w:lang w:eastAsia="en-AU"/>
              </w:rPr>
            </w:pPr>
            <w:r w:rsidRPr="004D60AC">
              <w:rPr>
                <w:rFonts w:cs="Arial"/>
                <w:b/>
                <w:i/>
                <w:szCs w:val="22"/>
                <w:lang w:eastAsia="en-AU"/>
              </w:rPr>
              <w:lastRenderedPageBreak/>
              <w:t>D</w:t>
            </w:r>
            <w:r w:rsidRPr="004D60AC">
              <w:rPr>
                <w:rFonts w:eastAsia="Arial Unicode MS" w:cs="Arial"/>
                <w:b/>
                <w:bCs/>
                <w:i/>
                <w:szCs w:val="22"/>
                <w:lang w:eastAsia="en-AU"/>
              </w:rPr>
              <w:t>ietary fibre</w:t>
            </w:r>
            <w:r w:rsidRPr="004D60AC">
              <w:rPr>
                <w:rFonts w:eastAsia="Arial Unicode MS" w:cs="Arial"/>
                <w:szCs w:val="22"/>
                <w:lang w:eastAsia="en-AU"/>
              </w:rPr>
              <w:t xml:space="preserve"> means that fraction of the edible part of plants or their extracts, or synthetic analogues that: </w:t>
            </w:r>
          </w:p>
          <w:p w14:paraId="6208D2ED" w14:textId="291F8760" w:rsidR="006B4034" w:rsidRPr="004D60AC" w:rsidRDefault="006B4034" w:rsidP="006B4034">
            <w:pPr>
              <w:widowControl/>
              <w:shd w:val="clear" w:color="auto" w:fill="FFFFFF"/>
              <w:spacing w:after="40"/>
              <w:ind w:left="1080" w:hanging="360"/>
              <w:rPr>
                <w:rFonts w:eastAsia="Arial Unicode MS" w:cs="Arial"/>
                <w:szCs w:val="22"/>
                <w:lang w:eastAsia="en-AU"/>
              </w:rPr>
            </w:pPr>
            <w:r w:rsidRPr="004D60AC">
              <w:rPr>
                <w:rFonts w:eastAsia="Arial Unicode MS" w:cs="Arial"/>
                <w:szCs w:val="22"/>
                <w:lang w:eastAsia="en-AU"/>
              </w:rPr>
              <w:t>(a)</w:t>
            </w:r>
            <w:r w:rsidRPr="004D60AC">
              <w:rPr>
                <w:rFonts w:eastAsia="Arial Unicode MS" w:cs="Arial"/>
                <w:szCs w:val="22"/>
                <w:lang w:eastAsia="en-AU"/>
              </w:rPr>
              <w:tab/>
            </w:r>
            <w:r w:rsidR="005728E4">
              <w:rPr>
                <w:rFonts w:eastAsia="Arial Unicode MS" w:cs="Arial"/>
                <w:szCs w:val="22"/>
                <w:lang w:eastAsia="en-AU"/>
              </w:rPr>
              <w:t>i</w:t>
            </w:r>
            <w:r w:rsidR="00F27E81">
              <w:rPr>
                <w:rFonts w:eastAsia="Arial Unicode MS" w:cs="Arial"/>
                <w:szCs w:val="22"/>
                <w:lang w:eastAsia="en-AU"/>
              </w:rPr>
              <w:t>s</w:t>
            </w:r>
            <w:r w:rsidR="005728E4" w:rsidRPr="004D60AC">
              <w:rPr>
                <w:rFonts w:eastAsia="Arial Unicode MS" w:cs="Arial"/>
                <w:szCs w:val="22"/>
                <w:lang w:eastAsia="en-AU"/>
              </w:rPr>
              <w:t xml:space="preserve"> </w:t>
            </w:r>
            <w:r w:rsidRPr="004D60AC">
              <w:rPr>
                <w:rFonts w:eastAsia="Arial Unicode MS" w:cs="Arial"/>
                <w:szCs w:val="22"/>
                <w:lang w:eastAsia="en-AU"/>
              </w:rPr>
              <w:t>resistant to digestion and absorption in the small intestine, usually with complete or partial fermentation in the large intestine; and</w:t>
            </w:r>
          </w:p>
          <w:p w14:paraId="0790C157" w14:textId="432775FE" w:rsidR="006B4034" w:rsidRPr="004D60AC" w:rsidRDefault="006B4034" w:rsidP="006B4034">
            <w:pPr>
              <w:widowControl/>
              <w:shd w:val="clear" w:color="auto" w:fill="FFFFFF"/>
              <w:spacing w:after="40"/>
              <w:ind w:left="1080" w:hanging="360"/>
              <w:rPr>
                <w:rFonts w:eastAsia="Arial Unicode MS" w:cs="Arial"/>
                <w:szCs w:val="22"/>
                <w:lang w:eastAsia="en-AU"/>
              </w:rPr>
            </w:pPr>
            <w:r w:rsidRPr="004D60AC">
              <w:rPr>
                <w:rFonts w:eastAsia="Arial Unicode MS" w:cs="Arial"/>
                <w:szCs w:val="22"/>
                <w:lang w:eastAsia="en-AU"/>
              </w:rPr>
              <w:t>(b)</w:t>
            </w:r>
            <w:r w:rsidRPr="004D60AC">
              <w:rPr>
                <w:rFonts w:eastAsia="Arial Unicode MS" w:cs="Arial"/>
                <w:szCs w:val="22"/>
                <w:lang w:eastAsia="en-AU"/>
              </w:rPr>
              <w:tab/>
              <w:t>promote</w:t>
            </w:r>
            <w:r w:rsidR="005728E4">
              <w:rPr>
                <w:rFonts w:eastAsia="Arial Unicode MS" w:cs="Arial"/>
                <w:szCs w:val="22"/>
                <w:lang w:eastAsia="en-AU"/>
              </w:rPr>
              <w:t>s</w:t>
            </w:r>
            <w:r w:rsidRPr="004D60AC">
              <w:rPr>
                <w:rFonts w:eastAsia="Arial Unicode MS" w:cs="Arial"/>
                <w:szCs w:val="22"/>
                <w:lang w:eastAsia="en-AU"/>
              </w:rPr>
              <w:t xml:space="preserve"> one or more of the following beneficial physiological effects: </w:t>
            </w:r>
          </w:p>
          <w:p w14:paraId="5755E804" w14:textId="61BCFDF7" w:rsidR="006B4034" w:rsidRPr="004D60AC" w:rsidRDefault="006B4034" w:rsidP="006B4034">
            <w:pPr>
              <w:widowControl/>
              <w:shd w:val="clear" w:color="auto" w:fill="FFFFFF"/>
              <w:spacing w:after="40"/>
              <w:ind w:left="1080"/>
              <w:contextualSpacing/>
              <w:rPr>
                <w:rFonts w:eastAsia="Arial Unicode MS" w:cs="Arial"/>
                <w:szCs w:val="22"/>
                <w:lang w:eastAsia="en-AU"/>
              </w:rPr>
            </w:pPr>
            <w:r w:rsidRPr="004D60AC">
              <w:rPr>
                <w:rFonts w:cs="Arial"/>
                <w:szCs w:val="22"/>
                <w:lang w:eastAsia="en-AU"/>
              </w:rPr>
              <w:t>(i)</w:t>
            </w:r>
            <w:r w:rsidRPr="004D60AC">
              <w:rPr>
                <w:rFonts w:cs="Arial"/>
                <w:szCs w:val="22"/>
                <w:lang w:eastAsia="en-AU"/>
              </w:rPr>
              <w:tab/>
              <w:t>laxation</w:t>
            </w:r>
            <w:r w:rsidR="005728E4">
              <w:rPr>
                <w:rFonts w:cs="Arial"/>
                <w:szCs w:val="22"/>
                <w:lang w:eastAsia="en-AU"/>
              </w:rPr>
              <w:t>;</w:t>
            </w:r>
          </w:p>
          <w:p w14:paraId="15B2D140" w14:textId="1C3748FF" w:rsidR="006B4034" w:rsidRPr="004D60AC" w:rsidRDefault="006B4034" w:rsidP="006B4034">
            <w:pPr>
              <w:widowControl/>
              <w:shd w:val="clear" w:color="auto" w:fill="FFFFFF"/>
              <w:spacing w:after="40"/>
              <w:ind w:left="1080"/>
              <w:contextualSpacing/>
              <w:rPr>
                <w:rFonts w:eastAsia="Arial Unicode MS" w:cs="Arial"/>
                <w:szCs w:val="22"/>
                <w:lang w:eastAsia="en-AU"/>
              </w:rPr>
            </w:pPr>
            <w:r w:rsidRPr="004D60AC">
              <w:rPr>
                <w:rFonts w:cs="Arial"/>
                <w:szCs w:val="22"/>
                <w:lang w:eastAsia="en-AU"/>
              </w:rPr>
              <w:t>(ii)</w:t>
            </w:r>
            <w:r w:rsidRPr="004D60AC">
              <w:rPr>
                <w:rFonts w:cs="Arial"/>
                <w:szCs w:val="22"/>
                <w:lang w:eastAsia="en-AU"/>
              </w:rPr>
              <w:tab/>
              <w:t>reduction in blood cholesterol</w:t>
            </w:r>
            <w:r w:rsidR="005728E4">
              <w:rPr>
                <w:rFonts w:cs="Arial"/>
                <w:szCs w:val="22"/>
                <w:lang w:eastAsia="en-AU"/>
              </w:rPr>
              <w:t>;</w:t>
            </w:r>
          </w:p>
          <w:p w14:paraId="08123807" w14:textId="77777777" w:rsidR="006B4034" w:rsidRPr="004D60AC" w:rsidRDefault="006B4034" w:rsidP="006B4034">
            <w:pPr>
              <w:widowControl/>
              <w:shd w:val="clear" w:color="auto" w:fill="FFFFFF"/>
              <w:spacing w:after="40"/>
              <w:ind w:left="1080"/>
              <w:contextualSpacing/>
              <w:rPr>
                <w:rFonts w:cs="Arial"/>
                <w:szCs w:val="22"/>
                <w:lang w:eastAsia="en-AU"/>
              </w:rPr>
            </w:pPr>
            <w:r w:rsidRPr="004D60AC">
              <w:rPr>
                <w:rFonts w:cs="Arial"/>
                <w:szCs w:val="22"/>
                <w:lang w:eastAsia="en-AU"/>
              </w:rPr>
              <w:t>(iii)</w:t>
            </w:r>
            <w:r w:rsidRPr="004D60AC">
              <w:rPr>
                <w:rFonts w:cs="Arial"/>
                <w:szCs w:val="22"/>
                <w:lang w:eastAsia="en-AU"/>
              </w:rPr>
              <w:tab/>
              <w:t xml:space="preserve">modulation of blood glucose </w:t>
            </w:r>
          </w:p>
          <w:p w14:paraId="3DFC2BBA" w14:textId="77777777" w:rsidR="006B4034" w:rsidRPr="004D60AC" w:rsidRDefault="006B4034" w:rsidP="006B4034">
            <w:pPr>
              <w:widowControl/>
              <w:shd w:val="clear" w:color="auto" w:fill="FFFFFF"/>
              <w:spacing w:after="40"/>
              <w:ind w:left="1080"/>
              <w:rPr>
                <w:rFonts w:cs="Arial"/>
                <w:szCs w:val="22"/>
                <w:lang w:eastAsia="en-AU"/>
              </w:rPr>
            </w:pPr>
            <w:r w:rsidRPr="004D60AC">
              <w:rPr>
                <w:rFonts w:cs="Arial"/>
                <w:szCs w:val="22"/>
                <w:lang w:eastAsia="en-AU"/>
              </w:rPr>
              <w:t>and includes:</w:t>
            </w:r>
          </w:p>
          <w:p w14:paraId="0E26477B" w14:textId="77777777" w:rsidR="006B4034" w:rsidRPr="004D60AC" w:rsidRDefault="006B4034" w:rsidP="006B4034">
            <w:pPr>
              <w:widowControl/>
              <w:shd w:val="clear" w:color="auto" w:fill="FFFFFF"/>
              <w:spacing w:after="40"/>
              <w:ind w:left="1080" w:hanging="360"/>
              <w:rPr>
                <w:rFonts w:cs="Arial"/>
                <w:szCs w:val="22"/>
                <w:lang w:eastAsia="en-AU"/>
              </w:rPr>
            </w:pPr>
            <w:r w:rsidRPr="004D60AC">
              <w:rPr>
                <w:rFonts w:cs="Arial"/>
                <w:szCs w:val="22"/>
                <w:lang w:eastAsia="en-AU"/>
              </w:rPr>
              <w:t>(c)</w:t>
            </w:r>
            <w:r w:rsidRPr="004D60AC">
              <w:rPr>
                <w:rFonts w:cs="Arial"/>
                <w:szCs w:val="22"/>
                <w:lang w:eastAsia="en-AU"/>
              </w:rPr>
              <w:tab/>
              <w:t>polysaccharides or oligosaccharides that have a degree of polymerisation greater than 2; and</w:t>
            </w:r>
          </w:p>
          <w:p w14:paraId="3902F7E0" w14:textId="7434A5A4" w:rsidR="006B4034" w:rsidRDefault="006B4034" w:rsidP="006B4034">
            <w:pPr>
              <w:widowControl/>
              <w:shd w:val="clear" w:color="auto" w:fill="FFFFFF"/>
              <w:spacing w:after="240"/>
              <w:ind w:left="1080" w:hanging="360"/>
              <w:rPr>
                <w:rFonts w:cs="Arial"/>
                <w:szCs w:val="22"/>
                <w:lang w:eastAsia="en-AU"/>
              </w:rPr>
            </w:pPr>
            <w:r w:rsidRPr="004D60AC">
              <w:rPr>
                <w:rFonts w:cs="Arial"/>
                <w:szCs w:val="22"/>
                <w:lang w:eastAsia="en-AU"/>
              </w:rPr>
              <w:t>(d)</w:t>
            </w:r>
            <w:r w:rsidRPr="004D60AC">
              <w:rPr>
                <w:rFonts w:cs="Arial"/>
                <w:szCs w:val="22"/>
                <w:lang w:eastAsia="en-AU"/>
              </w:rPr>
              <w:tab/>
              <w:t>lignins.</w:t>
            </w:r>
          </w:p>
        </w:tc>
      </w:tr>
    </w:tbl>
    <w:p w14:paraId="3D3CD6E5" w14:textId="2C6B48A6" w:rsidR="00CE56F5" w:rsidRPr="004D60AC" w:rsidRDefault="009936D0" w:rsidP="003C2064">
      <w:pPr>
        <w:pStyle w:val="FSBullet1"/>
        <w:numPr>
          <w:ilvl w:val="0"/>
          <w:numId w:val="0"/>
        </w:numPr>
        <w:spacing w:before="240" w:after="240"/>
      </w:pPr>
      <w:r>
        <w:t>Section</w:t>
      </w:r>
      <w:r w:rsidR="00CE56F5" w:rsidRPr="004D60AC">
        <w:t xml:space="preserve"> S11—4 currently requires the use of one or more of the following </w:t>
      </w:r>
      <w:r w:rsidR="00DF7956" w:rsidRPr="004D60AC">
        <w:t>AOAC</w:t>
      </w:r>
      <w:r w:rsidR="00DF7956">
        <w:t xml:space="preserve"> </w:t>
      </w:r>
      <w:r w:rsidR="00A0378B">
        <w:t>methods</w:t>
      </w:r>
      <w:r w:rsidR="00DF7956">
        <w:rPr>
          <w:rStyle w:val="FootnoteReference"/>
        </w:rPr>
        <w:footnoteReference w:id="5"/>
      </w:r>
      <w:r w:rsidR="00CE56F5" w:rsidRPr="004D60AC">
        <w:t xml:space="preserve"> to determine </w:t>
      </w:r>
      <w:r w:rsidR="006C5C60">
        <w:t xml:space="preserve">total </w:t>
      </w:r>
      <w:r w:rsidR="00CE56F5" w:rsidRPr="004D60AC">
        <w:t xml:space="preserve">dietary fibre </w:t>
      </w:r>
      <w:r w:rsidR="006C5C60">
        <w:t xml:space="preserve">and any specifically named fibre </w:t>
      </w:r>
      <w:r w:rsidR="00CE56F5" w:rsidRPr="004D60AC">
        <w:t xml:space="preserve">for the purposes of </w:t>
      </w:r>
      <w:r w:rsidR="00676275" w:rsidRPr="004D60AC">
        <w:t>declar</w:t>
      </w:r>
      <w:r w:rsidR="00676275">
        <w:t>ing dietary fibre</w:t>
      </w:r>
      <w:r w:rsidR="00CE56F5" w:rsidRPr="004D60AC">
        <w:t xml:space="preserve"> in the </w:t>
      </w:r>
      <w:r w:rsidR="00871E63" w:rsidRPr="004D60AC">
        <w:t>nutrition information panel</w:t>
      </w:r>
      <w:r w:rsidR="00871E63">
        <w:t xml:space="preserve"> (NIP)</w:t>
      </w:r>
      <w:r w:rsidR="00C91CEB" w:rsidRPr="004D60AC">
        <w:t xml:space="preserve"> </w:t>
      </w:r>
      <w:r w:rsidR="00676275">
        <w:t xml:space="preserve">(subsection 1.2.8—7(7)) </w:t>
      </w:r>
      <w:r w:rsidR="00CE56F5" w:rsidRPr="004D60AC">
        <w:t xml:space="preserve">and for </w:t>
      </w:r>
      <w:r w:rsidR="006C5C60">
        <w:t xml:space="preserve">determining </w:t>
      </w:r>
      <w:r w:rsidR="00B43F63">
        <w:t>F points</w:t>
      </w:r>
      <w:r w:rsidR="006C5C60">
        <w:t xml:space="preserve"> for </w:t>
      </w:r>
      <w:r w:rsidR="00CE56F5" w:rsidRPr="004D60AC">
        <w:t xml:space="preserve">the </w:t>
      </w:r>
      <w:r w:rsidR="006C5C60">
        <w:t xml:space="preserve">purpose of </w:t>
      </w:r>
      <w:r w:rsidR="00B43F63">
        <w:t xml:space="preserve">determining if a product meets the </w:t>
      </w:r>
      <w:r w:rsidR="00871E63">
        <w:t>nutrient profiling scoring criterion (N</w:t>
      </w:r>
      <w:r w:rsidR="0005019F">
        <w:t>PS</w:t>
      </w:r>
      <w:r w:rsidR="00871E63">
        <w:t>C)</w:t>
      </w:r>
      <w:r w:rsidR="00676275">
        <w:t xml:space="preserve"> (subsection S5—6(2))</w:t>
      </w:r>
      <w:r w:rsidR="006B4034">
        <w:t>:</w:t>
      </w:r>
    </w:p>
    <w:p w14:paraId="620CE73B" w14:textId="11A742AF" w:rsidR="00CE56F5" w:rsidRPr="004D60AC" w:rsidRDefault="00CE56F5" w:rsidP="00CE56F5">
      <w:pPr>
        <w:pStyle w:val="ListParagraph"/>
        <w:widowControl/>
        <w:numPr>
          <w:ilvl w:val="0"/>
          <w:numId w:val="10"/>
        </w:numPr>
        <w:rPr>
          <w:rFonts w:cs="Arial"/>
          <w:szCs w:val="22"/>
        </w:rPr>
      </w:pPr>
      <w:r w:rsidRPr="004D60AC">
        <w:rPr>
          <w:rFonts w:cs="Arial"/>
          <w:szCs w:val="22"/>
        </w:rPr>
        <w:t>for dietary fibre—</w:t>
      </w:r>
      <w:r w:rsidR="007B6F31" w:rsidRPr="007B6F31">
        <w:t xml:space="preserve"> </w:t>
      </w:r>
      <w:r w:rsidR="007B6F31" w:rsidRPr="004D60AC">
        <w:t>AOAC</w:t>
      </w:r>
      <w:r w:rsidR="007B6F31" w:rsidRPr="004D60AC">
        <w:rPr>
          <w:rFonts w:cs="Arial"/>
          <w:szCs w:val="22"/>
        </w:rPr>
        <w:t xml:space="preserve"> </w:t>
      </w:r>
      <w:r w:rsidRPr="004D60AC">
        <w:rPr>
          <w:rFonts w:cs="Arial"/>
          <w:szCs w:val="22"/>
        </w:rPr>
        <w:t>sections 985.29 or 991.43</w:t>
      </w:r>
    </w:p>
    <w:p w14:paraId="240FACAF" w14:textId="0AEBBBCE" w:rsidR="00CE56F5" w:rsidRPr="004D60AC" w:rsidRDefault="00CE56F5" w:rsidP="00CE56F5">
      <w:pPr>
        <w:pStyle w:val="ListParagraph"/>
        <w:widowControl/>
        <w:numPr>
          <w:ilvl w:val="0"/>
          <w:numId w:val="10"/>
        </w:numPr>
        <w:rPr>
          <w:rFonts w:cs="Arial"/>
          <w:szCs w:val="22"/>
        </w:rPr>
      </w:pPr>
      <w:r w:rsidRPr="004D60AC">
        <w:rPr>
          <w:rFonts w:cs="Arial"/>
          <w:szCs w:val="22"/>
        </w:rPr>
        <w:t>for dietary fibre (including all resistant maltodextrins)—</w:t>
      </w:r>
      <w:r w:rsidR="007B6F31" w:rsidRPr="007B6F31">
        <w:t xml:space="preserve"> </w:t>
      </w:r>
      <w:r w:rsidR="007B6F31" w:rsidRPr="004D60AC">
        <w:t>AOAC</w:t>
      </w:r>
      <w:r w:rsidR="007B6F31" w:rsidRPr="004D60AC">
        <w:rPr>
          <w:rFonts w:cs="Arial"/>
          <w:szCs w:val="22"/>
        </w:rPr>
        <w:t xml:space="preserve"> </w:t>
      </w:r>
      <w:r w:rsidRPr="004D60AC">
        <w:rPr>
          <w:rFonts w:cs="Arial"/>
          <w:szCs w:val="22"/>
        </w:rPr>
        <w:t>section 2001.03</w:t>
      </w:r>
    </w:p>
    <w:p w14:paraId="08607EC8" w14:textId="718E9E7B" w:rsidR="00CE56F5" w:rsidRPr="004D60AC" w:rsidRDefault="00CE56F5" w:rsidP="00CE56F5">
      <w:pPr>
        <w:pStyle w:val="ListParagraph"/>
        <w:widowControl/>
        <w:numPr>
          <w:ilvl w:val="0"/>
          <w:numId w:val="10"/>
        </w:numPr>
        <w:rPr>
          <w:rFonts w:cs="Arial"/>
          <w:szCs w:val="22"/>
        </w:rPr>
      </w:pPr>
      <w:r w:rsidRPr="004D60AC">
        <w:rPr>
          <w:rFonts w:cs="Arial"/>
          <w:szCs w:val="22"/>
        </w:rPr>
        <w:t>for inulin and fructooligosaccharide—</w:t>
      </w:r>
      <w:r w:rsidR="007B6F31" w:rsidRPr="007B6F31">
        <w:t xml:space="preserve"> </w:t>
      </w:r>
      <w:r w:rsidR="007B6F31" w:rsidRPr="004D60AC">
        <w:t>AOAC</w:t>
      </w:r>
      <w:r w:rsidR="007B6F31" w:rsidRPr="004D60AC">
        <w:rPr>
          <w:rFonts w:cs="Arial"/>
          <w:szCs w:val="22"/>
        </w:rPr>
        <w:t xml:space="preserve"> </w:t>
      </w:r>
      <w:r w:rsidRPr="004D60AC">
        <w:rPr>
          <w:rFonts w:cs="Arial"/>
          <w:szCs w:val="22"/>
        </w:rPr>
        <w:t>section 997.08</w:t>
      </w:r>
    </w:p>
    <w:p w14:paraId="78EC83E3" w14:textId="7584A476" w:rsidR="00CE56F5" w:rsidRPr="004D60AC" w:rsidRDefault="00CE56F5" w:rsidP="00CE56F5">
      <w:pPr>
        <w:pStyle w:val="ListParagraph"/>
        <w:widowControl/>
        <w:numPr>
          <w:ilvl w:val="0"/>
          <w:numId w:val="10"/>
        </w:numPr>
        <w:rPr>
          <w:rFonts w:cs="Arial"/>
          <w:szCs w:val="22"/>
        </w:rPr>
      </w:pPr>
      <w:r w:rsidRPr="004D60AC">
        <w:rPr>
          <w:rFonts w:cs="Arial"/>
          <w:szCs w:val="22"/>
        </w:rPr>
        <w:t>for inulin—</w:t>
      </w:r>
      <w:r w:rsidR="007B6F31" w:rsidRPr="007B6F31">
        <w:t xml:space="preserve"> </w:t>
      </w:r>
      <w:r w:rsidR="007B6F31" w:rsidRPr="004D60AC">
        <w:t>AOAC</w:t>
      </w:r>
      <w:r w:rsidR="007B6F31" w:rsidRPr="004D60AC">
        <w:rPr>
          <w:rFonts w:cs="Arial"/>
          <w:szCs w:val="22"/>
        </w:rPr>
        <w:t xml:space="preserve"> </w:t>
      </w:r>
      <w:r w:rsidRPr="004D60AC">
        <w:rPr>
          <w:rFonts w:cs="Arial"/>
          <w:szCs w:val="22"/>
        </w:rPr>
        <w:t>section 999.03</w:t>
      </w:r>
    </w:p>
    <w:p w14:paraId="248C9560" w14:textId="7F026120" w:rsidR="00CE56F5" w:rsidRPr="004D60AC" w:rsidRDefault="00CE56F5" w:rsidP="00CE56F5">
      <w:pPr>
        <w:pStyle w:val="ListParagraph"/>
        <w:widowControl/>
        <w:numPr>
          <w:ilvl w:val="0"/>
          <w:numId w:val="10"/>
        </w:numPr>
        <w:rPr>
          <w:rFonts w:cs="Arial"/>
          <w:szCs w:val="22"/>
        </w:rPr>
      </w:pPr>
      <w:r w:rsidRPr="004D60AC">
        <w:rPr>
          <w:rFonts w:cs="Arial"/>
          <w:szCs w:val="22"/>
        </w:rPr>
        <w:t>for polydextrose—</w:t>
      </w:r>
      <w:r w:rsidR="007B6F31" w:rsidRPr="007B6F31">
        <w:t xml:space="preserve"> </w:t>
      </w:r>
      <w:r w:rsidR="007B6F31" w:rsidRPr="004D60AC">
        <w:t>AOAC</w:t>
      </w:r>
      <w:r w:rsidR="007B6F31" w:rsidRPr="004D60AC">
        <w:rPr>
          <w:rFonts w:cs="Arial"/>
          <w:szCs w:val="22"/>
        </w:rPr>
        <w:t xml:space="preserve"> </w:t>
      </w:r>
      <w:r w:rsidRPr="004D60AC">
        <w:rPr>
          <w:rFonts w:cs="Arial"/>
          <w:szCs w:val="22"/>
        </w:rPr>
        <w:t>section 2000.11</w:t>
      </w:r>
    </w:p>
    <w:p w14:paraId="404B4BBB" w14:textId="5DF1040B" w:rsidR="00CE56F5" w:rsidRDefault="00CE56F5" w:rsidP="00CE56F5">
      <w:pPr>
        <w:pStyle w:val="ListParagraph"/>
        <w:widowControl/>
        <w:numPr>
          <w:ilvl w:val="0"/>
          <w:numId w:val="10"/>
        </w:numPr>
        <w:rPr>
          <w:rFonts w:cs="Arial"/>
          <w:szCs w:val="22"/>
        </w:rPr>
      </w:pPr>
      <w:r w:rsidRPr="004D60AC">
        <w:rPr>
          <w:rFonts w:cs="Arial"/>
          <w:szCs w:val="22"/>
        </w:rPr>
        <w:t>for resistant starch—</w:t>
      </w:r>
      <w:r w:rsidR="007B6F31" w:rsidRPr="007B6F31">
        <w:t xml:space="preserve"> </w:t>
      </w:r>
      <w:r w:rsidR="007B6F31" w:rsidRPr="004D60AC">
        <w:t>AOAC</w:t>
      </w:r>
      <w:r w:rsidR="007B6F31" w:rsidRPr="004D60AC">
        <w:rPr>
          <w:rFonts w:cs="Arial"/>
          <w:szCs w:val="22"/>
        </w:rPr>
        <w:t xml:space="preserve"> </w:t>
      </w:r>
      <w:r w:rsidRPr="004D60AC">
        <w:rPr>
          <w:rFonts w:cs="Arial"/>
          <w:szCs w:val="22"/>
        </w:rPr>
        <w:t>section 2002.02.</w:t>
      </w:r>
    </w:p>
    <w:p w14:paraId="3AC3EBC0" w14:textId="3EB93A45" w:rsidR="00CE56F5" w:rsidRPr="00C630D2" w:rsidRDefault="00CE56F5" w:rsidP="003663FF">
      <w:pPr>
        <w:pStyle w:val="Heading3"/>
        <w:widowControl/>
      </w:pPr>
      <w:bookmarkStart w:id="34" w:name="_Toc67321501"/>
      <w:bookmarkStart w:id="35" w:name="_Toc69987907"/>
      <w:bookmarkStart w:id="36" w:name="_Toc70002629"/>
      <w:r w:rsidRPr="004D60AC">
        <w:t>1</w:t>
      </w:r>
      <w:r>
        <w:t>.</w:t>
      </w:r>
      <w:r w:rsidR="00387B6A">
        <w:t>3</w:t>
      </w:r>
      <w:r>
        <w:t>.</w:t>
      </w:r>
      <w:r w:rsidR="00DA77C7">
        <w:t>2</w:t>
      </w:r>
      <w:r w:rsidR="003B746C">
        <w:tab/>
      </w:r>
      <w:r w:rsidRPr="004D60AC">
        <w:t>Labelling</w:t>
      </w:r>
      <w:r w:rsidR="00DA77C7">
        <w:t xml:space="preserve"> requirements for dietary fibre</w:t>
      </w:r>
      <w:bookmarkEnd w:id="34"/>
      <w:bookmarkEnd w:id="35"/>
      <w:bookmarkEnd w:id="36"/>
    </w:p>
    <w:p w14:paraId="4112B926" w14:textId="1A83E8DC" w:rsidR="00547B79" w:rsidRDefault="006011B1" w:rsidP="00C91CEB">
      <w:pPr>
        <w:widowControl/>
        <w:shd w:val="clear" w:color="auto" w:fill="FFFFFF"/>
        <w:spacing w:after="150"/>
        <w:rPr>
          <w:rFonts w:cs="Arial"/>
          <w:szCs w:val="22"/>
        </w:rPr>
      </w:pPr>
      <w:r w:rsidRPr="00274D38">
        <w:rPr>
          <w:rFonts w:cs="Arial"/>
          <w:szCs w:val="22"/>
        </w:rPr>
        <w:t xml:space="preserve">Declaration </w:t>
      </w:r>
      <w:r w:rsidR="00CE56F5" w:rsidRPr="00274D38">
        <w:rPr>
          <w:rFonts w:cs="Arial"/>
          <w:szCs w:val="22"/>
        </w:rPr>
        <w:t>of the</w:t>
      </w:r>
      <w:r w:rsidR="00274D38">
        <w:rPr>
          <w:rFonts w:cs="Arial"/>
          <w:szCs w:val="22"/>
        </w:rPr>
        <w:t xml:space="preserve"> </w:t>
      </w:r>
      <w:r w:rsidR="00131BC3">
        <w:rPr>
          <w:rFonts w:cs="Arial"/>
          <w:szCs w:val="22"/>
        </w:rPr>
        <w:t>total</w:t>
      </w:r>
      <w:r w:rsidR="00A0378B">
        <w:rPr>
          <w:rFonts w:cs="Arial"/>
          <w:szCs w:val="22"/>
        </w:rPr>
        <w:t xml:space="preserve"> dietary fibre</w:t>
      </w:r>
      <w:r w:rsidR="0061009F">
        <w:rPr>
          <w:rFonts w:cs="Arial"/>
          <w:szCs w:val="22"/>
        </w:rPr>
        <w:t xml:space="preserve"> </w:t>
      </w:r>
      <w:bookmarkStart w:id="37" w:name="_Toc7617332"/>
      <w:r w:rsidR="00CE56F5" w:rsidRPr="004D60AC">
        <w:rPr>
          <w:rFonts w:cs="Arial"/>
          <w:szCs w:val="22"/>
        </w:rPr>
        <w:t>content or any specifically named dietary fibre content is required for nutrition information labelling purposes under Standard 1.2.8</w:t>
      </w:r>
      <w:r w:rsidR="00E667DA" w:rsidDel="003A1A5B">
        <w:rPr>
          <w:rFonts w:cs="Arial"/>
          <w:szCs w:val="22"/>
        </w:rPr>
        <w:t>.</w:t>
      </w:r>
      <w:r w:rsidR="00CE56F5" w:rsidRPr="004D60AC" w:rsidDel="003A1A5B">
        <w:rPr>
          <w:rFonts w:cs="Arial"/>
          <w:szCs w:val="22"/>
        </w:rPr>
        <w:t xml:space="preserve"> </w:t>
      </w:r>
      <w:r w:rsidR="003A1A5B">
        <w:rPr>
          <w:rFonts w:cs="Arial"/>
          <w:szCs w:val="22"/>
        </w:rPr>
        <w:t>A</w:t>
      </w:r>
      <w:r w:rsidR="00CE56F5" w:rsidRPr="004D60AC">
        <w:rPr>
          <w:rFonts w:cs="Arial"/>
          <w:szCs w:val="22"/>
        </w:rPr>
        <w:t xml:space="preserve"> declaration of the presence or absence of dietary fibre must be included in the</w:t>
      </w:r>
      <w:r w:rsidR="003A1A5B">
        <w:rPr>
          <w:rFonts w:cs="Arial"/>
          <w:szCs w:val="22"/>
        </w:rPr>
        <w:t xml:space="preserve"> NIP</w:t>
      </w:r>
      <w:r w:rsidR="00CE56F5" w:rsidRPr="004D60AC" w:rsidDel="003A1A5B">
        <w:rPr>
          <w:rFonts w:cs="Arial"/>
          <w:szCs w:val="22"/>
        </w:rPr>
        <w:t xml:space="preserve"> </w:t>
      </w:r>
      <w:r w:rsidR="00CE56F5" w:rsidRPr="004D60AC">
        <w:rPr>
          <w:rFonts w:cs="Arial"/>
          <w:szCs w:val="22"/>
        </w:rPr>
        <w:t xml:space="preserve">if a </w:t>
      </w:r>
      <w:r w:rsidR="003A1A5B">
        <w:rPr>
          <w:rFonts w:cs="Arial"/>
          <w:szCs w:val="22"/>
        </w:rPr>
        <w:t xml:space="preserve">nutrition content or health </w:t>
      </w:r>
      <w:r w:rsidR="006B4034">
        <w:rPr>
          <w:rFonts w:cs="Arial"/>
          <w:szCs w:val="22"/>
        </w:rPr>
        <w:t>claim is made about:</w:t>
      </w:r>
    </w:p>
    <w:p w14:paraId="4EB993BD" w14:textId="1CF261E2" w:rsidR="007E31B2" w:rsidRDefault="00CE56F5" w:rsidP="00542857">
      <w:pPr>
        <w:pStyle w:val="FSBullet1"/>
        <w:numPr>
          <w:ilvl w:val="0"/>
          <w:numId w:val="71"/>
        </w:numPr>
      </w:pPr>
      <w:r w:rsidRPr="007E31B2">
        <w:t>dietary fibre</w:t>
      </w:r>
      <w:r w:rsidR="00676275">
        <w:t>;</w:t>
      </w:r>
      <w:r w:rsidRPr="007E31B2">
        <w:t xml:space="preserve"> </w:t>
      </w:r>
    </w:p>
    <w:p w14:paraId="3827CDF8" w14:textId="4B606ED2" w:rsidR="007E31B2" w:rsidRDefault="00CE56F5" w:rsidP="00542857">
      <w:pPr>
        <w:pStyle w:val="FSBullet1"/>
        <w:numPr>
          <w:ilvl w:val="0"/>
          <w:numId w:val="71"/>
        </w:numPr>
      </w:pPr>
      <w:r w:rsidRPr="007E31B2">
        <w:t>any specifically named dietary fibre</w:t>
      </w:r>
      <w:r w:rsidR="00676275">
        <w:t>;</w:t>
      </w:r>
      <w:r w:rsidRPr="007E31B2">
        <w:t xml:space="preserve"> </w:t>
      </w:r>
    </w:p>
    <w:p w14:paraId="09AB55D5" w14:textId="1B7876C5" w:rsidR="007E31B2" w:rsidRDefault="00676275" w:rsidP="00542857">
      <w:pPr>
        <w:pStyle w:val="FSBullet1"/>
        <w:numPr>
          <w:ilvl w:val="0"/>
          <w:numId w:val="71"/>
        </w:numPr>
      </w:pPr>
      <w:r>
        <w:t>s</w:t>
      </w:r>
      <w:r w:rsidRPr="007E31B2">
        <w:t>ugar</w:t>
      </w:r>
      <w:r>
        <w:t>s; or</w:t>
      </w:r>
      <w:r w:rsidR="00CE56F5" w:rsidRPr="007E31B2">
        <w:t xml:space="preserve"> </w:t>
      </w:r>
    </w:p>
    <w:p w14:paraId="4020E666" w14:textId="2E1E833E" w:rsidR="007E31B2" w:rsidRDefault="00CE56F5" w:rsidP="00542857">
      <w:pPr>
        <w:pStyle w:val="FSBullet1"/>
        <w:numPr>
          <w:ilvl w:val="0"/>
          <w:numId w:val="71"/>
        </w:numPr>
      </w:pPr>
      <w:r w:rsidRPr="007E31B2">
        <w:t>any other type of carboh</w:t>
      </w:r>
      <w:r w:rsidR="006B4034">
        <w:t>ydrate (subsection 1.2.8—6(5)).</w:t>
      </w:r>
    </w:p>
    <w:p w14:paraId="0E47FA35" w14:textId="77777777" w:rsidR="00204A05" w:rsidRDefault="00204A05" w:rsidP="007E31B2">
      <w:pPr>
        <w:widowControl/>
        <w:rPr>
          <w:rFonts w:cs="Arial"/>
          <w:szCs w:val="22"/>
        </w:rPr>
      </w:pPr>
    </w:p>
    <w:p w14:paraId="379780D1" w14:textId="5F2321FC" w:rsidR="00CE56F5" w:rsidRPr="007E31B2" w:rsidRDefault="00CE56F5" w:rsidP="007E31B2">
      <w:pPr>
        <w:widowControl/>
        <w:rPr>
          <w:rFonts w:cs="Arial"/>
          <w:szCs w:val="22"/>
        </w:rPr>
      </w:pPr>
      <w:r w:rsidRPr="007E31B2">
        <w:rPr>
          <w:rFonts w:cs="Arial"/>
          <w:szCs w:val="22"/>
        </w:rPr>
        <w:t xml:space="preserve">This declaration must be made in accordance with the </w:t>
      </w:r>
      <w:r w:rsidR="008E135B">
        <w:rPr>
          <w:rFonts w:cs="Arial"/>
          <w:szCs w:val="22"/>
        </w:rPr>
        <w:t xml:space="preserve">relevant </w:t>
      </w:r>
      <w:r w:rsidRPr="007E31B2">
        <w:rPr>
          <w:rFonts w:cs="Arial"/>
          <w:szCs w:val="22"/>
        </w:rPr>
        <w:t xml:space="preserve">prescribed format for the </w:t>
      </w:r>
      <w:r w:rsidR="003A1A5B">
        <w:rPr>
          <w:rFonts w:cs="Arial"/>
          <w:szCs w:val="22"/>
        </w:rPr>
        <w:t>NIP</w:t>
      </w:r>
      <w:r w:rsidRPr="007E31B2">
        <w:rPr>
          <w:rFonts w:cs="Arial"/>
          <w:szCs w:val="22"/>
        </w:rPr>
        <w:t>. The format allows for the declaration of any sub-group nutrient of dietary fibre indented below the heading ‘Dietary</w:t>
      </w:r>
      <w:r w:rsidR="006B4034">
        <w:rPr>
          <w:rFonts w:cs="Arial"/>
          <w:szCs w:val="22"/>
        </w:rPr>
        <w:t xml:space="preserve"> fibre, total’ (section S12—3).</w:t>
      </w:r>
    </w:p>
    <w:p w14:paraId="4A35AD57" w14:textId="77777777" w:rsidR="00CE56F5" w:rsidRPr="004D60AC" w:rsidRDefault="00CE56F5" w:rsidP="00CE56F5">
      <w:pPr>
        <w:widowControl/>
        <w:rPr>
          <w:rFonts w:cs="Arial"/>
          <w:szCs w:val="22"/>
        </w:rPr>
      </w:pPr>
    </w:p>
    <w:p w14:paraId="3F394AB0" w14:textId="1386795F" w:rsidR="00CE56F5" w:rsidRDefault="00CE56F5" w:rsidP="006011B1">
      <w:pPr>
        <w:widowControl/>
        <w:rPr>
          <w:rFonts w:cs="Arial"/>
          <w:szCs w:val="22"/>
        </w:rPr>
      </w:pPr>
      <w:r w:rsidRPr="004D60AC">
        <w:rPr>
          <w:rFonts w:cs="Arial"/>
          <w:szCs w:val="22"/>
        </w:rPr>
        <w:t>Conditions for making nutrition content and health claims are in Standard 1.2.7 and Schedule 4.</w:t>
      </w:r>
      <w:r w:rsidR="006011B1">
        <w:rPr>
          <w:rFonts w:cs="Arial"/>
          <w:szCs w:val="22"/>
        </w:rPr>
        <w:t xml:space="preserve"> </w:t>
      </w:r>
      <w:r w:rsidR="00082459">
        <w:rPr>
          <w:rFonts w:cs="Arial"/>
          <w:szCs w:val="22"/>
        </w:rPr>
        <w:t xml:space="preserve">Schedule 4 sets out the amount of dietary fibre a food must contain </w:t>
      </w:r>
      <w:r w:rsidR="00147029">
        <w:rPr>
          <w:rFonts w:cs="Arial"/>
          <w:szCs w:val="22"/>
        </w:rPr>
        <w:t>to make</w:t>
      </w:r>
      <w:r w:rsidR="00F5106A">
        <w:rPr>
          <w:rFonts w:cs="Arial"/>
          <w:szCs w:val="22"/>
        </w:rPr>
        <w:t xml:space="preserve"> a </w:t>
      </w:r>
      <w:r w:rsidR="00147029">
        <w:rPr>
          <w:rFonts w:cs="Arial"/>
          <w:szCs w:val="22"/>
        </w:rPr>
        <w:t xml:space="preserve">nutrition content </w:t>
      </w:r>
      <w:r w:rsidR="00F5106A">
        <w:rPr>
          <w:rFonts w:cs="Arial"/>
          <w:szCs w:val="22"/>
        </w:rPr>
        <w:t>claim</w:t>
      </w:r>
      <w:r w:rsidR="00082459">
        <w:rPr>
          <w:rFonts w:cs="Arial"/>
          <w:szCs w:val="22"/>
        </w:rPr>
        <w:t xml:space="preserve"> about dietary fibre, for example, a food with a ‘contains dietary fibre</w:t>
      </w:r>
      <w:r w:rsidR="00547B79">
        <w:rPr>
          <w:rFonts w:cs="Arial"/>
          <w:szCs w:val="22"/>
        </w:rPr>
        <w:t>’</w:t>
      </w:r>
      <w:r w:rsidR="006B4034">
        <w:rPr>
          <w:rFonts w:cs="Arial"/>
          <w:szCs w:val="22"/>
        </w:rPr>
        <w:t xml:space="preserve"> claim must contain at least 2</w:t>
      </w:r>
      <w:r w:rsidR="00082459">
        <w:rPr>
          <w:rFonts w:cs="Arial"/>
          <w:szCs w:val="22"/>
        </w:rPr>
        <w:t>g of dietary fibre per serving of the food.</w:t>
      </w:r>
    </w:p>
    <w:p w14:paraId="54249429" w14:textId="65C1E1BD" w:rsidR="00F5106A" w:rsidRDefault="00F5106A" w:rsidP="006011B1">
      <w:pPr>
        <w:widowControl/>
        <w:rPr>
          <w:rFonts w:cs="Arial"/>
          <w:szCs w:val="22"/>
        </w:rPr>
      </w:pPr>
    </w:p>
    <w:p w14:paraId="59FE0DC3" w14:textId="3CDBB9D7" w:rsidR="00F5106A" w:rsidRPr="006011B1" w:rsidRDefault="00F5106A" w:rsidP="006011B1">
      <w:pPr>
        <w:widowControl/>
        <w:rPr>
          <w:rFonts w:cs="Arial"/>
          <w:szCs w:val="22"/>
        </w:rPr>
      </w:pPr>
      <w:r>
        <w:rPr>
          <w:rFonts w:cs="Arial"/>
          <w:szCs w:val="22"/>
        </w:rPr>
        <w:t xml:space="preserve">Schedule 4 also sets out </w:t>
      </w:r>
      <w:r w:rsidR="001B4D3E">
        <w:rPr>
          <w:rFonts w:cs="Arial"/>
          <w:szCs w:val="22"/>
        </w:rPr>
        <w:t xml:space="preserve">the health claims that are permitted </w:t>
      </w:r>
      <w:r w:rsidR="00C92D88">
        <w:rPr>
          <w:rFonts w:cs="Arial"/>
          <w:szCs w:val="22"/>
        </w:rPr>
        <w:t xml:space="preserve">to be made </w:t>
      </w:r>
      <w:r w:rsidR="001B4D3E">
        <w:rPr>
          <w:rFonts w:cs="Arial"/>
          <w:szCs w:val="22"/>
        </w:rPr>
        <w:t xml:space="preserve">about foods, subject to meeting specified conditions. </w:t>
      </w:r>
      <w:r w:rsidR="00190724">
        <w:rPr>
          <w:rFonts w:cs="Arial"/>
          <w:szCs w:val="22"/>
        </w:rPr>
        <w:t xml:space="preserve">In relation to dietary fibre or specifically named dietary fibres, </w:t>
      </w:r>
      <w:r w:rsidR="001D3DEA">
        <w:rPr>
          <w:rFonts w:cs="Arial"/>
          <w:szCs w:val="22"/>
        </w:rPr>
        <w:t xml:space="preserve">a </w:t>
      </w:r>
      <w:r w:rsidR="00C92D88">
        <w:rPr>
          <w:rFonts w:cs="Arial"/>
          <w:szCs w:val="22"/>
        </w:rPr>
        <w:t>general lev</w:t>
      </w:r>
      <w:r w:rsidR="00DF245C">
        <w:rPr>
          <w:rFonts w:cs="Arial"/>
          <w:szCs w:val="22"/>
        </w:rPr>
        <w:t>e</w:t>
      </w:r>
      <w:r w:rsidR="00C92D88">
        <w:rPr>
          <w:rFonts w:cs="Arial"/>
          <w:szCs w:val="22"/>
        </w:rPr>
        <w:t>l health claim may be made</w:t>
      </w:r>
      <w:r w:rsidR="00190724">
        <w:rPr>
          <w:rFonts w:cs="Arial"/>
          <w:szCs w:val="22"/>
        </w:rPr>
        <w:t xml:space="preserve"> for dietary fibre (contributes to regular laxation) and</w:t>
      </w:r>
      <w:r w:rsidR="001D3DEA">
        <w:rPr>
          <w:rFonts w:cs="Arial"/>
          <w:szCs w:val="22"/>
        </w:rPr>
        <w:t xml:space="preserve"> a high level health claim and general level health claim </w:t>
      </w:r>
      <w:r w:rsidR="00190724">
        <w:rPr>
          <w:rFonts w:cs="Arial"/>
          <w:szCs w:val="22"/>
        </w:rPr>
        <w:t xml:space="preserve">are </w:t>
      </w:r>
      <w:r w:rsidR="00AB4E54">
        <w:rPr>
          <w:rFonts w:cs="Arial"/>
          <w:szCs w:val="22"/>
        </w:rPr>
        <w:t>permitted</w:t>
      </w:r>
      <w:r w:rsidR="00190724">
        <w:rPr>
          <w:rFonts w:cs="Arial"/>
          <w:szCs w:val="22"/>
        </w:rPr>
        <w:t xml:space="preserve"> for beta-glucan, a specifically named dietary fibre (reduces blood cholesterol</w:t>
      </w:r>
      <w:r w:rsidR="001D3DEA">
        <w:rPr>
          <w:rFonts w:cs="Arial"/>
          <w:szCs w:val="22"/>
        </w:rPr>
        <w:t xml:space="preserve"> and</w:t>
      </w:r>
      <w:r w:rsidR="00190724">
        <w:rPr>
          <w:rFonts w:cs="Arial"/>
          <w:szCs w:val="22"/>
        </w:rPr>
        <w:t xml:space="preserve"> reduces dietary and biliary cholesterol absorption</w:t>
      </w:r>
      <w:r w:rsidR="001D3DEA">
        <w:rPr>
          <w:rFonts w:cs="Arial"/>
          <w:szCs w:val="22"/>
        </w:rPr>
        <w:t>, respectively</w:t>
      </w:r>
      <w:r w:rsidR="00190724">
        <w:rPr>
          <w:rFonts w:cs="Arial"/>
          <w:szCs w:val="22"/>
        </w:rPr>
        <w:t xml:space="preserve">).  </w:t>
      </w:r>
    </w:p>
    <w:p w14:paraId="13F31077" w14:textId="77777777" w:rsidR="00CE56F5" w:rsidRPr="004D60AC" w:rsidRDefault="00CE56F5" w:rsidP="00CE56F5">
      <w:pPr>
        <w:widowControl/>
        <w:rPr>
          <w:rFonts w:cs="Arial"/>
          <w:szCs w:val="22"/>
        </w:rPr>
      </w:pPr>
    </w:p>
    <w:p w14:paraId="6ECB667E" w14:textId="461176EB" w:rsidR="00CE56F5" w:rsidRPr="00BD14D7" w:rsidRDefault="00190724" w:rsidP="00CE56F5">
      <w:pPr>
        <w:pStyle w:val="ListParagraph"/>
        <w:widowControl/>
        <w:ind w:left="0"/>
      </w:pPr>
      <w:r>
        <w:rPr>
          <w:rFonts w:cs="Arial"/>
          <w:szCs w:val="22"/>
        </w:rPr>
        <w:lastRenderedPageBreak/>
        <w:t xml:space="preserve">Foods carrying health claims must </w:t>
      </w:r>
      <w:r w:rsidRPr="004D60AC">
        <w:rPr>
          <w:rFonts w:cs="Arial"/>
          <w:szCs w:val="22"/>
        </w:rPr>
        <w:t>meet the NPSC (</w:t>
      </w:r>
      <w:r w:rsidR="00E83F85">
        <w:rPr>
          <w:rFonts w:cs="Arial"/>
          <w:szCs w:val="22"/>
        </w:rPr>
        <w:t>paragraph 1.2.7—18(1)(a)</w:t>
      </w:r>
      <w:r w:rsidRPr="004D60AC">
        <w:rPr>
          <w:rFonts w:cs="Arial"/>
          <w:szCs w:val="22"/>
        </w:rPr>
        <w:t>)</w:t>
      </w:r>
      <w:r>
        <w:rPr>
          <w:rFonts w:cs="Arial"/>
          <w:szCs w:val="22"/>
        </w:rPr>
        <w:t xml:space="preserve">. </w:t>
      </w:r>
      <w:r w:rsidR="00E83F85" w:rsidRPr="00395171">
        <w:rPr>
          <w:rFonts w:cs="Arial"/>
          <w:szCs w:val="22"/>
        </w:rPr>
        <w:t>Breakfast cereal must also meet the NPSC in order to contain vitamin D</w:t>
      </w:r>
      <w:r w:rsidR="00E83F85">
        <w:rPr>
          <w:rFonts w:cs="Arial"/>
          <w:szCs w:val="22"/>
        </w:rPr>
        <w:t xml:space="preserve"> that has been added as a nutritive substance (</w:t>
      </w:r>
      <w:r w:rsidR="00DF245C">
        <w:rPr>
          <w:rFonts w:cs="Arial"/>
          <w:szCs w:val="22"/>
        </w:rPr>
        <w:t xml:space="preserve">see </w:t>
      </w:r>
      <w:r w:rsidR="00E83F85">
        <w:rPr>
          <w:rFonts w:cs="Arial"/>
          <w:szCs w:val="22"/>
        </w:rPr>
        <w:t>section 1.3.2—6).</w:t>
      </w:r>
      <w:r w:rsidR="00E83F85" w:rsidRPr="00395171">
        <w:rPr>
          <w:rFonts w:cs="Arial"/>
          <w:szCs w:val="22"/>
        </w:rPr>
        <w:t xml:space="preserve"> </w:t>
      </w:r>
      <w:r w:rsidR="00CE56F5" w:rsidRPr="004D60AC">
        <w:rPr>
          <w:rFonts w:cs="Arial"/>
          <w:szCs w:val="22"/>
        </w:rPr>
        <w:t>Determination of the dietary fibre content in accordance with section S11—4 is required to calculate Fibre points (F points) for the purpose of determining if a food meets the NPSC</w:t>
      </w:r>
      <w:r w:rsidR="00E83F85">
        <w:rPr>
          <w:rFonts w:cs="Arial"/>
          <w:szCs w:val="22"/>
        </w:rPr>
        <w:t xml:space="preserve"> (section S5—6)</w:t>
      </w:r>
      <w:r>
        <w:rPr>
          <w:rFonts w:cs="Arial"/>
          <w:szCs w:val="22"/>
        </w:rPr>
        <w:t xml:space="preserve">. </w:t>
      </w:r>
      <w:r w:rsidR="00CE56F5" w:rsidRPr="004D60AC">
        <w:rPr>
          <w:rFonts w:cs="Arial"/>
          <w:szCs w:val="22"/>
        </w:rPr>
        <w:t xml:space="preserve">If </w:t>
      </w:r>
      <w:r w:rsidR="004C6B8A">
        <w:rPr>
          <w:rFonts w:cs="Arial"/>
          <w:szCs w:val="22"/>
        </w:rPr>
        <w:t>F</w:t>
      </w:r>
      <w:r w:rsidR="004C6B8A" w:rsidRPr="004D60AC">
        <w:rPr>
          <w:rFonts w:cs="Arial"/>
          <w:szCs w:val="22"/>
        </w:rPr>
        <w:t xml:space="preserve"> </w:t>
      </w:r>
      <w:r w:rsidR="00CE56F5" w:rsidRPr="004D60AC">
        <w:rPr>
          <w:rFonts w:cs="Arial"/>
          <w:szCs w:val="22"/>
        </w:rPr>
        <w:t xml:space="preserve">points are relied on for a food to meet the NPSC, the dietary fibre must be declared in the </w:t>
      </w:r>
      <w:r w:rsidR="003A1A5B">
        <w:rPr>
          <w:rFonts w:cs="Arial"/>
          <w:szCs w:val="22"/>
        </w:rPr>
        <w:t>NIP</w:t>
      </w:r>
      <w:r w:rsidR="00CE56F5" w:rsidRPr="004D60AC">
        <w:rPr>
          <w:rFonts w:cs="Arial"/>
          <w:szCs w:val="22"/>
        </w:rPr>
        <w:t xml:space="preserve"> (</w:t>
      </w:r>
      <w:r w:rsidR="005F53DC">
        <w:rPr>
          <w:rFonts w:cs="Arial"/>
          <w:szCs w:val="22"/>
        </w:rPr>
        <w:t xml:space="preserve">see </w:t>
      </w:r>
      <w:r w:rsidR="00CE56F5" w:rsidRPr="004D60AC">
        <w:rPr>
          <w:rFonts w:cs="Arial"/>
          <w:szCs w:val="22"/>
        </w:rPr>
        <w:t>section</w:t>
      </w:r>
      <w:r w:rsidR="005F53DC">
        <w:rPr>
          <w:rFonts w:cs="Arial"/>
          <w:szCs w:val="22"/>
        </w:rPr>
        <w:t>s</w:t>
      </w:r>
      <w:r w:rsidR="00CE56F5" w:rsidRPr="004D60AC">
        <w:rPr>
          <w:rFonts w:cs="Arial"/>
          <w:szCs w:val="22"/>
        </w:rPr>
        <w:t xml:space="preserve"> 1.2.7—26 and 1.3.2—7).</w:t>
      </w:r>
    </w:p>
    <w:p w14:paraId="4351EB05" w14:textId="398DE4AF" w:rsidR="003659D0" w:rsidRPr="003659D0" w:rsidRDefault="00B71181" w:rsidP="005C7D9B">
      <w:pPr>
        <w:pStyle w:val="Heading2"/>
        <w:widowControl/>
      </w:pPr>
      <w:bookmarkStart w:id="38" w:name="_Toc67321502"/>
      <w:bookmarkStart w:id="39" w:name="_Toc69987908"/>
      <w:bookmarkStart w:id="40" w:name="_Toc70002630"/>
      <w:bookmarkStart w:id="41" w:name="_Toc286391007"/>
      <w:bookmarkStart w:id="42" w:name="_Toc300933423"/>
      <w:bookmarkStart w:id="43" w:name="_Toc175381432"/>
      <w:bookmarkEnd w:id="37"/>
      <w:r w:rsidRPr="003659D0">
        <w:t>1.</w:t>
      </w:r>
      <w:r w:rsidR="00387B6A">
        <w:t>4</w:t>
      </w:r>
      <w:r w:rsidRPr="003659D0">
        <w:tab/>
        <w:t xml:space="preserve">International </w:t>
      </w:r>
      <w:r w:rsidR="0062209C">
        <w:t>standards</w:t>
      </w:r>
      <w:bookmarkEnd w:id="38"/>
      <w:bookmarkEnd w:id="39"/>
      <w:bookmarkEnd w:id="40"/>
    </w:p>
    <w:p w14:paraId="7FED6B7D" w14:textId="66D08159" w:rsidR="003659D0" w:rsidRPr="003659D0" w:rsidRDefault="00B801EE" w:rsidP="005C7D9B">
      <w:pPr>
        <w:widowControl/>
        <w:rPr>
          <w:rFonts w:cs="Arial"/>
          <w:szCs w:val="22"/>
          <w:lang w:eastAsia="en-AU" w:bidi="ar-SA"/>
        </w:rPr>
      </w:pPr>
      <w:r>
        <w:rPr>
          <w:rFonts w:cs="Arial"/>
          <w:szCs w:val="22"/>
          <w:lang w:eastAsia="en-AU" w:bidi="ar-SA"/>
        </w:rPr>
        <w:t xml:space="preserve">Codex revised its definition of dietary fibre and reviewed the range of methods of dietary fibre analysis in 2009 (Codex 2009). </w:t>
      </w:r>
      <w:r>
        <w:rPr>
          <w:rFonts w:cs="Arial"/>
        </w:rPr>
        <w:t>Regulatory d</w:t>
      </w:r>
      <w:r w:rsidR="003659D0">
        <w:rPr>
          <w:rFonts w:cs="Arial"/>
        </w:rPr>
        <w:t>efinitions of dietary</w:t>
      </w:r>
      <w:r w:rsidR="00431F01">
        <w:rPr>
          <w:rFonts w:cs="Arial"/>
        </w:rPr>
        <w:t xml:space="preserve"> fibre </w:t>
      </w:r>
      <w:r w:rsidR="00431F01" w:rsidRPr="004D60AC">
        <w:rPr>
          <w:rFonts w:cs="Arial"/>
          <w:szCs w:val="22"/>
          <w:lang w:eastAsia="en-AU" w:bidi="ar-SA"/>
        </w:rPr>
        <w:t xml:space="preserve">vary </w:t>
      </w:r>
      <w:r w:rsidR="006620B0">
        <w:rPr>
          <w:rFonts w:cs="Arial"/>
          <w:szCs w:val="22"/>
          <w:lang w:eastAsia="en-AU" w:bidi="ar-SA"/>
        </w:rPr>
        <w:t xml:space="preserve">in </w:t>
      </w:r>
      <w:r w:rsidR="00762DB8">
        <w:rPr>
          <w:rFonts w:cs="Arial"/>
          <w:szCs w:val="22"/>
          <w:lang w:eastAsia="en-AU" w:bidi="ar-SA"/>
        </w:rPr>
        <w:t xml:space="preserve">between </w:t>
      </w:r>
      <w:r w:rsidR="006620B0">
        <w:rPr>
          <w:rFonts w:cs="Arial"/>
          <w:szCs w:val="22"/>
          <w:lang w:eastAsia="en-AU" w:bidi="ar-SA"/>
        </w:rPr>
        <w:t>countries</w:t>
      </w:r>
      <w:r w:rsidR="00FD41B8">
        <w:rPr>
          <w:rFonts w:cs="Arial"/>
          <w:szCs w:val="22"/>
          <w:lang w:eastAsia="en-AU" w:bidi="ar-SA"/>
        </w:rPr>
        <w:t xml:space="preserve"> </w:t>
      </w:r>
      <w:r w:rsidR="00431F01">
        <w:rPr>
          <w:rFonts w:cs="Arial"/>
          <w:szCs w:val="22"/>
          <w:lang w:eastAsia="en-AU" w:bidi="ar-SA"/>
        </w:rPr>
        <w:t xml:space="preserve">and have </w:t>
      </w:r>
      <w:r w:rsidR="003659D0">
        <w:rPr>
          <w:rFonts w:cs="Arial"/>
        </w:rPr>
        <w:t xml:space="preserve">evolved over time </w:t>
      </w:r>
      <w:r w:rsidR="00431F01">
        <w:rPr>
          <w:rFonts w:cs="Arial"/>
        </w:rPr>
        <w:t>with the greater</w:t>
      </w:r>
      <w:r w:rsidR="003659D0">
        <w:rPr>
          <w:rFonts w:cs="Arial"/>
        </w:rPr>
        <w:t xml:space="preserve"> understanding of the composition of foods </w:t>
      </w:r>
      <w:r w:rsidR="00431F01">
        <w:rPr>
          <w:rFonts w:cs="Arial"/>
        </w:rPr>
        <w:t>and the development of methods of analysis that can measure more complex food</w:t>
      </w:r>
      <w:r w:rsidR="006620B0">
        <w:rPr>
          <w:rFonts w:cs="Arial"/>
        </w:rPr>
        <w:t xml:space="preserve"> matrices</w:t>
      </w:r>
      <w:r w:rsidR="00431F01">
        <w:rPr>
          <w:rFonts w:cs="Arial"/>
        </w:rPr>
        <w:t xml:space="preserve"> </w:t>
      </w:r>
      <w:r w:rsidR="003659D0">
        <w:rPr>
          <w:rFonts w:cs="Arial"/>
        </w:rPr>
        <w:t>(</w:t>
      </w:r>
      <w:r w:rsidR="0036254B">
        <w:rPr>
          <w:rFonts w:cs="Arial"/>
        </w:rPr>
        <w:t>Jones</w:t>
      </w:r>
      <w:r w:rsidR="00431F01">
        <w:rPr>
          <w:rFonts w:cs="Arial"/>
        </w:rPr>
        <w:t xml:space="preserve"> 2013; </w:t>
      </w:r>
      <w:r w:rsidR="007C6EE2">
        <w:rPr>
          <w:rFonts w:cs="Arial"/>
        </w:rPr>
        <w:t>McCleary et al</w:t>
      </w:r>
      <w:r w:rsidR="0036254B">
        <w:rPr>
          <w:rFonts w:cs="Arial"/>
        </w:rPr>
        <w:t>.</w:t>
      </w:r>
      <w:r w:rsidR="007C6EE2">
        <w:rPr>
          <w:rFonts w:cs="Arial"/>
        </w:rPr>
        <w:t xml:space="preserve"> 2010;</w:t>
      </w:r>
      <w:r w:rsidR="003659D0">
        <w:rPr>
          <w:rFonts w:cs="Arial"/>
        </w:rPr>
        <w:t>M</w:t>
      </w:r>
      <w:r w:rsidR="0062209C">
        <w:rPr>
          <w:rFonts w:cs="Arial"/>
        </w:rPr>
        <w:t>cCleary et al</w:t>
      </w:r>
      <w:r w:rsidR="0036254B">
        <w:rPr>
          <w:rFonts w:cs="Arial"/>
        </w:rPr>
        <w:t>.</w:t>
      </w:r>
      <w:r w:rsidR="003659D0">
        <w:rPr>
          <w:rFonts w:cs="Arial"/>
        </w:rPr>
        <w:t xml:space="preserve"> 2012;</w:t>
      </w:r>
      <w:r w:rsidR="007C6EE2">
        <w:rPr>
          <w:rFonts w:cs="Arial"/>
        </w:rPr>
        <w:t xml:space="preserve"> </w:t>
      </w:r>
      <w:r w:rsidR="007A4782">
        <w:rPr>
          <w:rFonts w:cs="Arial"/>
        </w:rPr>
        <w:t>Philips</w:t>
      </w:r>
      <w:r w:rsidR="003659D0">
        <w:rPr>
          <w:rFonts w:cs="Arial"/>
        </w:rPr>
        <w:t xml:space="preserve"> 2013</w:t>
      </w:r>
      <w:r w:rsidR="00431F01">
        <w:rPr>
          <w:rFonts w:cs="Arial"/>
        </w:rPr>
        <w:t>; Stephen et al</w:t>
      </w:r>
      <w:r w:rsidR="0036254B">
        <w:rPr>
          <w:rFonts w:cs="Arial"/>
        </w:rPr>
        <w:t>.</w:t>
      </w:r>
      <w:r w:rsidR="00431F01">
        <w:rPr>
          <w:rFonts w:cs="Arial"/>
        </w:rPr>
        <w:t xml:space="preserve"> 2017</w:t>
      </w:r>
      <w:r w:rsidR="001E589B">
        <w:rPr>
          <w:rFonts w:cs="Arial"/>
        </w:rPr>
        <w:t xml:space="preserve">). </w:t>
      </w:r>
      <w:r w:rsidR="001E589B">
        <w:rPr>
          <w:rFonts w:cs="Arial"/>
          <w:szCs w:val="22"/>
          <w:lang w:eastAsia="en-AU" w:bidi="ar-SA"/>
        </w:rPr>
        <w:t xml:space="preserve">Below we have considered </w:t>
      </w:r>
      <w:r w:rsidR="001E589B" w:rsidRPr="004D60AC">
        <w:rPr>
          <w:rFonts w:cs="Arial"/>
          <w:szCs w:val="22"/>
          <w:lang w:eastAsia="en-AU" w:bidi="ar-SA"/>
        </w:rPr>
        <w:t>dietary fibre definitions</w:t>
      </w:r>
      <w:r w:rsidR="001E589B">
        <w:rPr>
          <w:rFonts w:cs="Arial"/>
          <w:szCs w:val="22"/>
          <w:lang w:eastAsia="en-AU" w:bidi="ar-SA"/>
        </w:rPr>
        <w:t>, and methods of analysis accepted by Codex and generally comparable countries</w:t>
      </w:r>
      <w:r w:rsidR="001D3DEA">
        <w:rPr>
          <w:rFonts w:cs="Arial"/>
          <w:szCs w:val="22"/>
          <w:lang w:eastAsia="en-AU" w:bidi="ar-SA"/>
        </w:rPr>
        <w:t xml:space="preserve"> to Australia and New Zealand</w:t>
      </w:r>
      <w:r w:rsidR="001E589B">
        <w:rPr>
          <w:rFonts w:cs="Arial"/>
          <w:szCs w:val="22"/>
          <w:lang w:eastAsia="en-AU" w:bidi="ar-SA"/>
        </w:rPr>
        <w:t xml:space="preserve"> such </w:t>
      </w:r>
      <w:r w:rsidR="001D3DEA">
        <w:rPr>
          <w:rFonts w:cs="Arial"/>
          <w:szCs w:val="22"/>
          <w:lang w:eastAsia="en-AU" w:bidi="ar-SA"/>
        </w:rPr>
        <w:t xml:space="preserve">as </w:t>
      </w:r>
      <w:r w:rsidR="001E589B">
        <w:rPr>
          <w:rFonts w:cs="Arial"/>
          <w:szCs w:val="22"/>
          <w:lang w:eastAsia="en-AU" w:bidi="ar-SA"/>
        </w:rPr>
        <w:t>the United States (US)</w:t>
      </w:r>
      <w:r w:rsidR="00762DB8">
        <w:rPr>
          <w:rFonts w:cs="Arial"/>
          <w:szCs w:val="22"/>
          <w:lang w:eastAsia="en-AU" w:bidi="ar-SA"/>
        </w:rPr>
        <w:t xml:space="preserve"> and</w:t>
      </w:r>
      <w:r w:rsidR="001E589B">
        <w:rPr>
          <w:rFonts w:cs="Arial"/>
          <w:szCs w:val="22"/>
          <w:lang w:eastAsia="en-AU" w:bidi="ar-SA"/>
        </w:rPr>
        <w:t xml:space="preserve"> Canada</w:t>
      </w:r>
      <w:r w:rsidR="00762DB8">
        <w:rPr>
          <w:rFonts w:cs="Arial"/>
          <w:szCs w:val="22"/>
          <w:lang w:eastAsia="en-AU" w:bidi="ar-SA"/>
        </w:rPr>
        <w:t>,</w:t>
      </w:r>
      <w:r w:rsidR="001E589B">
        <w:rPr>
          <w:rFonts w:cs="Arial"/>
          <w:szCs w:val="22"/>
          <w:lang w:eastAsia="en-AU" w:bidi="ar-SA"/>
        </w:rPr>
        <w:t xml:space="preserve"> and the European Union (EU)</w:t>
      </w:r>
      <w:r w:rsidR="003659D0">
        <w:rPr>
          <w:rFonts w:cs="Arial"/>
          <w:szCs w:val="22"/>
          <w:lang w:eastAsia="en-AU" w:bidi="ar-SA"/>
        </w:rPr>
        <w:t>.</w:t>
      </w:r>
      <w:r w:rsidR="006C5F64">
        <w:rPr>
          <w:rFonts w:cs="Arial"/>
          <w:szCs w:val="22"/>
          <w:lang w:eastAsia="en-AU" w:bidi="ar-SA"/>
        </w:rPr>
        <w:t xml:space="preserve"> </w:t>
      </w:r>
    </w:p>
    <w:p w14:paraId="1DA02216" w14:textId="485BBA2D" w:rsidR="003659D0" w:rsidRPr="003659D0" w:rsidRDefault="003659D0" w:rsidP="005C7D9B">
      <w:pPr>
        <w:pStyle w:val="Heading3"/>
        <w:widowControl/>
      </w:pPr>
      <w:bookmarkStart w:id="44" w:name="_Toc67321503"/>
      <w:bookmarkStart w:id="45" w:name="_Toc69987909"/>
      <w:bookmarkStart w:id="46" w:name="_Toc70002631"/>
      <w:r w:rsidRPr="003659D0">
        <w:t>1.</w:t>
      </w:r>
      <w:r w:rsidR="00387B6A">
        <w:t>4</w:t>
      </w:r>
      <w:r w:rsidRPr="003659D0">
        <w:t>.1</w:t>
      </w:r>
      <w:r w:rsidRPr="003659D0">
        <w:tab/>
        <w:t>Codex</w:t>
      </w:r>
      <w:bookmarkEnd w:id="44"/>
      <w:bookmarkEnd w:id="45"/>
      <w:bookmarkEnd w:id="46"/>
    </w:p>
    <w:p w14:paraId="53E50C1F" w14:textId="39F08D8F" w:rsidR="004E1CCF" w:rsidRDefault="003659D0" w:rsidP="004E1CCF">
      <w:pPr>
        <w:widowControl/>
        <w:spacing w:after="240"/>
        <w:rPr>
          <w:szCs w:val="22"/>
        </w:rPr>
      </w:pPr>
      <w:r w:rsidRPr="004D60AC">
        <w:rPr>
          <w:rFonts w:cs="Arial"/>
          <w:color w:val="000000"/>
          <w:szCs w:val="22"/>
        </w:rPr>
        <w:t xml:space="preserve">A </w:t>
      </w:r>
      <w:r w:rsidR="007019BC">
        <w:rPr>
          <w:rFonts w:cs="Arial"/>
          <w:color w:val="000000"/>
          <w:szCs w:val="22"/>
        </w:rPr>
        <w:t>revised</w:t>
      </w:r>
      <w:r w:rsidR="007019BC" w:rsidRPr="004D60AC">
        <w:rPr>
          <w:rFonts w:cs="Arial"/>
          <w:color w:val="000000"/>
          <w:szCs w:val="22"/>
        </w:rPr>
        <w:t xml:space="preserve"> </w:t>
      </w:r>
      <w:r w:rsidRPr="004D60AC">
        <w:rPr>
          <w:rFonts w:cs="Arial"/>
          <w:color w:val="000000"/>
          <w:szCs w:val="22"/>
        </w:rPr>
        <w:t xml:space="preserve">Codex Alimentarius definition was </w:t>
      </w:r>
      <w:r w:rsidR="00046605">
        <w:rPr>
          <w:rFonts w:cs="Arial"/>
          <w:color w:val="000000"/>
          <w:szCs w:val="22"/>
        </w:rPr>
        <w:t xml:space="preserve">first </w:t>
      </w:r>
      <w:r w:rsidRPr="004D60AC">
        <w:rPr>
          <w:rFonts w:cs="Arial"/>
          <w:color w:val="000000"/>
          <w:szCs w:val="22"/>
        </w:rPr>
        <w:t>published in 2009</w:t>
      </w:r>
      <w:r w:rsidR="0041276F">
        <w:rPr>
          <w:rFonts w:cs="Arial"/>
          <w:color w:val="000000"/>
          <w:szCs w:val="22"/>
        </w:rPr>
        <w:t>.T</w:t>
      </w:r>
      <w:r w:rsidR="00762DB8">
        <w:rPr>
          <w:rFonts w:cs="Arial"/>
          <w:color w:val="000000"/>
          <w:szCs w:val="22"/>
        </w:rPr>
        <w:t xml:space="preserve">he </w:t>
      </w:r>
      <w:r w:rsidR="00762DB8">
        <w:t>General Guideline</w:t>
      </w:r>
      <w:r w:rsidR="0036254B">
        <w:t>s on Nutrition Labelling (Codex</w:t>
      </w:r>
      <w:r w:rsidR="00762DB8">
        <w:t xml:space="preserve"> 2017) current defines dietary fibre as</w:t>
      </w:r>
      <w:r w:rsidRPr="004D60AC">
        <w:rPr>
          <w:rFonts w:cs="Arial"/>
          <w:color w:val="000000"/>
          <w:szCs w:val="22"/>
        </w:rPr>
        <w:t>:</w:t>
      </w:r>
    </w:p>
    <w:tbl>
      <w:tblPr>
        <w:tblStyle w:val="TableGrid"/>
        <w:tblW w:w="0" w:type="auto"/>
        <w:tblLook w:val="04A0" w:firstRow="1" w:lastRow="0" w:firstColumn="1" w:lastColumn="0" w:noHBand="0" w:noVBand="1"/>
        <w:tblDescription w:val="Codex dietary fibre definition"/>
      </w:tblPr>
      <w:tblGrid>
        <w:gridCol w:w="9060"/>
      </w:tblGrid>
      <w:tr w:rsidR="004E1CCF" w14:paraId="6E56D38D" w14:textId="77777777" w:rsidTr="004E1CCF">
        <w:tc>
          <w:tcPr>
            <w:tcW w:w="9060" w:type="dxa"/>
          </w:tcPr>
          <w:p w14:paraId="5C3B9FA3" w14:textId="77777777" w:rsidR="004E1CCF" w:rsidRPr="001037F2" w:rsidRDefault="004E1CCF" w:rsidP="004E1CCF">
            <w:pPr>
              <w:widowControl/>
              <w:spacing w:before="240"/>
              <w:rPr>
                <w:szCs w:val="22"/>
              </w:rPr>
            </w:pPr>
            <w:r w:rsidRPr="001037F2">
              <w:rPr>
                <w:b/>
                <w:bCs/>
                <w:i/>
                <w:iCs/>
                <w:szCs w:val="22"/>
              </w:rPr>
              <w:t xml:space="preserve">Dietary fibre </w:t>
            </w:r>
            <w:r w:rsidRPr="001037F2">
              <w:rPr>
                <w:szCs w:val="22"/>
              </w:rPr>
              <w:t>means carbohydrate polymers</w:t>
            </w:r>
            <w:r w:rsidRPr="001037F2">
              <w:rPr>
                <w:szCs w:val="22"/>
                <w:vertAlign w:val="superscript"/>
              </w:rPr>
              <w:t>2</w:t>
            </w:r>
            <w:r w:rsidRPr="001037F2">
              <w:rPr>
                <w:szCs w:val="22"/>
              </w:rPr>
              <w:t xml:space="preserve"> with ten or more monomeric units</w:t>
            </w:r>
            <w:r w:rsidRPr="001037F2">
              <w:rPr>
                <w:szCs w:val="22"/>
                <w:vertAlign w:val="superscript"/>
              </w:rPr>
              <w:t>3</w:t>
            </w:r>
            <w:r w:rsidRPr="001037F2">
              <w:rPr>
                <w:szCs w:val="22"/>
              </w:rPr>
              <w:t xml:space="preserve">, which are not hydrolysed by the endogenous enzymes in the small intestine of humans and belong to the following categories: </w:t>
            </w:r>
          </w:p>
          <w:p w14:paraId="766806FB" w14:textId="77777777" w:rsidR="004E1CCF" w:rsidRPr="001037F2" w:rsidRDefault="004E1CCF" w:rsidP="004E1CCF">
            <w:pPr>
              <w:pStyle w:val="Default"/>
              <w:numPr>
                <w:ilvl w:val="0"/>
                <w:numId w:val="69"/>
              </w:numPr>
              <w:spacing w:before="120"/>
              <w:ind w:left="360"/>
              <w:rPr>
                <w:sz w:val="22"/>
                <w:szCs w:val="22"/>
              </w:rPr>
            </w:pPr>
            <w:r w:rsidRPr="001037F2">
              <w:rPr>
                <w:sz w:val="22"/>
                <w:szCs w:val="22"/>
              </w:rPr>
              <w:t xml:space="preserve">Edible carbohydrate polymers naturally occurring in the food as consumed, </w:t>
            </w:r>
          </w:p>
          <w:p w14:paraId="0FE0B210" w14:textId="77777777" w:rsidR="004E1CCF" w:rsidRPr="001037F2" w:rsidRDefault="004E1CCF" w:rsidP="004E1CCF">
            <w:pPr>
              <w:pStyle w:val="Default"/>
              <w:numPr>
                <w:ilvl w:val="0"/>
                <w:numId w:val="69"/>
              </w:numPr>
              <w:spacing w:before="120"/>
              <w:ind w:left="360"/>
              <w:rPr>
                <w:sz w:val="22"/>
                <w:szCs w:val="22"/>
              </w:rPr>
            </w:pPr>
            <w:r>
              <w:rPr>
                <w:sz w:val="22"/>
                <w:szCs w:val="22"/>
              </w:rPr>
              <w:t>C</w:t>
            </w:r>
            <w:r w:rsidRPr="001037F2">
              <w:rPr>
                <w:sz w:val="22"/>
                <w:szCs w:val="22"/>
              </w:rPr>
              <w:t xml:space="preserve">arbohydrate polymers, which have been obtained from food raw material by physical, enzymatic or chemical means and which have been shown to have a physiological effect of benefit to health as demonstrated by generally accepted scientific evidence to competent authorities, </w:t>
            </w:r>
          </w:p>
          <w:p w14:paraId="3A1BD26D" w14:textId="77777777" w:rsidR="004E1CCF" w:rsidRPr="001037F2" w:rsidRDefault="004E1CCF" w:rsidP="004E1CCF">
            <w:pPr>
              <w:pStyle w:val="Default"/>
              <w:numPr>
                <w:ilvl w:val="0"/>
                <w:numId w:val="69"/>
              </w:numPr>
              <w:spacing w:before="120"/>
              <w:ind w:left="360"/>
              <w:rPr>
                <w:sz w:val="22"/>
                <w:szCs w:val="22"/>
              </w:rPr>
            </w:pPr>
            <w:r>
              <w:rPr>
                <w:sz w:val="22"/>
                <w:szCs w:val="22"/>
              </w:rPr>
              <w:t>S</w:t>
            </w:r>
            <w:r w:rsidRPr="001037F2">
              <w:rPr>
                <w:sz w:val="22"/>
                <w:szCs w:val="22"/>
              </w:rPr>
              <w:t xml:space="preserve">ynthetic carbohydrate polymers which have been shown to have a physiological effect of benefit to health as demonstrated by generally accepted scientific evidence to competent authorities. </w:t>
            </w:r>
          </w:p>
          <w:p w14:paraId="5864656E" w14:textId="77777777" w:rsidR="004E1CCF" w:rsidRPr="001037F2" w:rsidRDefault="004E1CCF" w:rsidP="004E1CCF">
            <w:pPr>
              <w:pStyle w:val="Default"/>
              <w:spacing w:before="120"/>
              <w:rPr>
                <w:sz w:val="20"/>
                <w:szCs w:val="22"/>
              </w:rPr>
            </w:pPr>
            <w:r w:rsidRPr="00D90FB9">
              <w:rPr>
                <w:sz w:val="20"/>
                <w:szCs w:val="22"/>
                <w:vertAlign w:val="superscript"/>
              </w:rPr>
              <w:t>2</w:t>
            </w:r>
            <w:r w:rsidRPr="001037F2">
              <w:rPr>
                <w:sz w:val="20"/>
                <w:szCs w:val="22"/>
              </w:rPr>
              <w:t xml:space="preserve"> When derived from a plant origin, dietary fibre may include fractions of lignin and/or other compounds associated with polysaccharides in the plant cell walls. These compounds also may be measured by certain analytical method(s) for dietary fibre. However, such compounds are not included in the definition of dietary fibre if extracted and re-introduced into a food. </w:t>
            </w:r>
          </w:p>
          <w:p w14:paraId="40F0BB86" w14:textId="567F98E2" w:rsidR="004E1CCF" w:rsidRPr="004E1CCF" w:rsidRDefault="004E1CCF" w:rsidP="004E1CCF">
            <w:pPr>
              <w:widowControl/>
              <w:spacing w:before="120" w:after="240"/>
              <w:rPr>
                <w:sz w:val="28"/>
              </w:rPr>
            </w:pPr>
            <w:r w:rsidRPr="00D90FB9">
              <w:rPr>
                <w:sz w:val="20"/>
                <w:szCs w:val="22"/>
                <w:vertAlign w:val="superscript"/>
              </w:rPr>
              <w:t>3</w:t>
            </w:r>
            <w:r w:rsidRPr="001037F2">
              <w:rPr>
                <w:sz w:val="20"/>
                <w:szCs w:val="22"/>
              </w:rPr>
              <w:t xml:space="preserve"> Decision on whether to include carbohydrates from 3 to 9 monomeric units should be left to national authorities.</w:t>
            </w:r>
          </w:p>
        </w:tc>
      </w:tr>
    </w:tbl>
    <w:p w14:paraId="6EC88C08" w14:textId="36D3EE9A" w:rsidR="003659D0" w:rsidRDefault="00C004A5" w:rsidP="004E1CCF">
      <w:pPr>
        <w:spacing w:before="240"/>
      </w:pPr>
      <w:r>
        <w:rPr>
          <w:rFonts w:cs="Arial"/>
          <w:szCs w:val="22"/>
          <w:lang w:eastAsia="en-AU" w:bidi="ar-SA"/>
        </w:rPr>
        <w:t xml:space="preserve">The </w:t>
      </w:r>
      <w:r w:rsidR="001D3DEA">
        <w:rPr>
          <w:rFonts w:cs="Arial"/>
          <w:szCs w:val="22"/>
          <w:lang w:eastAsia="en-AU" w:bidi="ar-SA"/>
        </w:rPr>
        <w:t xml:space="preserve">full list of </w:t>
      </w:r>
      <w:r w:rsidR="00E44F3E">
        <w:rPr>
          <w:rFonts w:cs="Arial"/>
          <w:szCs w:val="22"/>
          <w:lang w:eastAsia="en-AU" w:bidi="ar-SA"/>
        </w:rPr>
        <w:t xml:space="preserve">countries </w:t>
      </w:r>
      <w:r>
        <w:rPr>
          <w:rFonts w:cs="Arial"/>
          <w:szCs w:val="22"/>
          <w:lang w:eastAsia="en-AU" w:bidi="ar-SA"/>
        </w:rPr>
        <w:t xml:space="preserve">that </w:t>
      </w:r>
      <w:r w:rsidR="00E44F3E">
        <w:t>include monomeric units 3-9</w:t>
      </w:r>
      <w:r>
        <w:t xml:space="preserve"> in their definition</w:t>
      </w:r>
      <w:r w:rsidR="00E44F3E">
        <w:t xml:space="preserve"> is unclear in the literature</w:t>
      </w:r>
      <w:r w:rsidR="003659D0">
        <w:rPr>
          <w:rFonts w:cs="Arial"/>
          <w:szCs w:val="22"/>
          <w:lang w:eastAsia="en-AU" w:bidi="ar-SA"/>
        </w:rPr>
        <w:t xml:space="preserve"> </w:t>
      </w:r>
      <w:r w:rsidR="00E44F3E">
        <w:rPr>
          <w:rFonts w:cs="Arial"/>
          <w:szCs w:val="22"/>
          <w:lang w:eastAsia="en-AU" w:bidi="ar-SA"/>
        </w:rPr>
        <w:t xml:space="preserve">(Jones </w:t>
      </w:r>
      <w:r w:rsidR="003659D0">
        <w:rPr>
          <w:rFonts w:cs="Arial"/>
          <w:szCs w:val="22"/>
          <w:lang w:eastAsia="en-AU" w:bidi="ar-SA"/>
        </w:rPr>
        <w:t>2014</w:t>
      </w:r>
      <w:r w:rsidR="00E44F3E">
        <w:rPr>
          <w:rFonts w:cs="Arial"/>
          <w:szCs w:val="22"/>
          <w:lang w:eastAsia="en-AU" w:bidi="ar-SA"/>
        </w:rPr>
        <w:t>; Stephen et al</w:t>
      </w:r>
      <w:r w:rsidR="0041276F">
        <w:rPr>
          <w:rFonts w:cs="Arial"/>
          <w:szCs w:val="22"/>
          <w:lang w:eastAsia="en-AU" w:bidi="ar-SA"/>
        </w:rPr>
        <w:t>.</w:t>
      </w:r>
      <w:r w:rsidR="00E44F3E">
        <w:rPr>
          <w:rFonts w:cs="Arial"/>
          <w:szCs w:val="22"/>
          <w:lang w:eastAsia="en-AU" w:bidi="ar-SA"/>
        </w:rPr>
        <w:t xml:space="preserve"> 2017), however it appears </w:t>
      </w:r>
      <w:r w:rsidR="0072164B">
        <w:rPr>
          <w:rFonts w:cs="Arial"/>
          <w:szCs w:val="22"/>
          <w:lang w:eastAsia="en-AU" w:bidi="ar-SA"/>
        </w:rPr>
        <w:t xml:space="preserve">that in addition to </w:t>
      </w:r>
      <w:r w:rsidR="00E44F3E">
        <w:rPr>
          <w:rFonts w:cs="Arial"/>
          <w:szCs w:val="22"/>
          <w:lang w:eastAsia="en-AU" w:bidi="ar-SA"/>
        </w:rPr>
        <w:t>Australia</w:t>
      </w:r>
      <w:r w:rsidR="0072164B">
        <w:rPr>
          <w:rFonts w:cs="Arial"/>
          <w:szCs w:val="22"/>
          <w:lang w:eastAsia="en-AU" w:bidi="ar-SA"/>
        </w:rPr>
        <w:t xml:space="preserve"> and</w:t>
      </w:r>
      <w:r w:rsidR="00E44F3E">
        <w:rPr>
          <w:rFonts w:cs="Arial"/>
          <w:szCs w:val="22"/>
          <w:lang w:eastAsia="en-AU" w:bidi="ar-SA"/>
        </w:rPr>
        <w:t xml:space="preserve"> New Zealand, the US, Canada, the EU,</w:t>
      </w:r>
      <w:r w:rsidR="003659D0">
        <w:rPr>
          <w:rFonts w:cs="Arial"/>
          <w:szCs w:val="22"/>
          <w:lang w:eastAsia="en-AU" w:bidi="ar-SA"/>
        </w:rPr>
        <w:t xml:space="preserve"> </w:t>
      </w:r>
      <w:r w:rsidR="00E44F3E">
        <w:t>China</w:t>
      </w:r>
      <w:r w:rsidR="003659D0">
        <w:t>, Chile</w:t>
      </w:r>
      <w:r w:rsidR="00D23EEB">
        <w:t xml:space="preserve"> (for labelling but not for health claims)</w:t>
      </w:r>
      <w:r w:rsidR="003659D0">
        <w:t xml:space="preserve">, </w:t>
      </w:r>
      <w:r w:rsidR="00D23EEB">
        <w:t>Japan and Korea</w:t>
      </w:r>
      <w:r w:rsidR="006620B0">
        <w:t xml:space="preserve"> all accept 3-9 monomeric units as dietary fibre</w:t>
      </w:r>
      <w:r w:rsidR="00D23EEB">
        <w:t>.</w:t>
      </w:r>
    </w:p>
    <w:p w14:paraId="0CDBCDE8" w14:textId="5799A9B4" w:rsidR="00D23EEB" w:rsidRDefault="00D23EEB" w:rsidP="00827BC8"/>
    <w:p w14:paraId="5A33C264" w14:textId="6357F06C" w:rsidR="006620B0" w:rsidRDefault="00D23EEB" w:rsidP="00827BC8">
      <w:pPr>
        <w:rPr>
          <w:rFonts w:cs="Arial"/>
          <w:szCs w:val="22"/>
          <w:lang w:eastAsia="en-AU" w:bidi="ar-SA"/>
        </w:rPr>
      </w:pPr>
      <w:r>
        <w:t xml:space="preserve">The acceptance of </w:t>
      </w:r>
      <w:r w:rsidR="00E87912">
        <w:t xml:space="preserve">a </w:t>
      </w:r>
      <w:r>
        <w:t>physiological effect of benefit to health (</w:t>
      </w:r>
      <w:r w:rsidR="009030A1">
        <w:t xml:space="preserve">called </w:t>
      </w:r>
      <w:r>
        <w:t>a</w:t>
      </w:r>
      <w:r w:rsidR="00E87912">
        <w:t xml:space="preserve"> </w:t>
      </w:r>
      <w:r>
        <w:t>beneficial physiological effect</w:t>
      </w:r>
      <w:r w:rsidR="007019BC" w:rsidRPr="007019BC">
        <w:t xml:space="preserve"> </w:t>
      </w:r>
      <w:r w:rsidR="007019BC">
        <w:t>in the Code</w:t>
      </w:r>
      <w:r>
        <w:t>)</w:t>
      </w:r>
      <w:r w:rsidR="00E87912">
        <w:t xml:space="preserve"> varies from country to country</w:t>
      </w:r>
      <w:r w:rsidR="006620B0">
        <w:t>. Some of these</w:t>
      </w:r>
      <w:r w:rsidR="00E87912">
        <w:t xml:space="preserve"> include effects on cardiovascular health, blood pressure, blood lipids, type 2 diabetes mellitus, cancer, body weight/energy intake, </w:t>
      </w:r>
      <w:r w:rsidR="0072164B">
        <w:t xml:space="preserve">and </w:t>
      </w:r>
      <w:r w:rsidR="000230BF">
        <w:t>gastrointestinal health</w:t>
      </w:r>
      <w:r w:rsidR="00E87912">
        <w:t xml:space="preserve">. </w:t>
      </w:r>
    </w:p>
    <w:p w14:paraId="016F588D" w14:textId="447B84FF" w:rsidR="006620B0" w:rsidRDefault="006620B0" w:rsidP="00827BC8">
      <w:pPr>
        <w:pStyle w:val="Heading5"/>
      </w:pPr>
      <w:r>
        <w:t>Methods of analysis</w:t>
      </w:r>
    </w:p>
    <w:p w14:paraId="199EF901" w14:textId="6850DE5C" w:rsidR="006620B0" w:rsidRDefault="006620B0" w:rsidP="00827BC8">
      <w:pPr>
        <w:rPr>
          <w:rFonts w:cs="Arial"/>
          <w:i/>
          <w:szCs w:val="22"/>
        </w:rPr>
      </w:pPr>
      <w:r>
        <w:rPr>
          <w:rFonts w:cs="Arial"/>
          <w:szCs w:val="22"/>
        </w:rPr>
        <w:t xml:space="preserve">There are currently 15 permitted </w:t>
      </w:r>
      <w:r w:rsidRPr="004D60AC">
        <w:rPr>
          <w:rFonts w:cs="Arial"/>
          <w:szCs w:val="22"/>
        </w:rPr>
        <w:t>methods of analysis for dietary fibre under</w:t>
      </w:r>
      <w:r>
        <w:rPr>
          <w:rFonts w:cs="Arial"/>
          <w:szCs w:val="22"/>
        </w:rPr>
        <w:t xml:space="preserve"> </w:t>
      </w:r>
      <w:r w:rsidRPr="000D6701">
        <w:rPr>
          <w:rFonts w:cs="Arial"/>
          <w:i/>
          <w:szCs w:val="22"/>
          <w:lang w:val="en-NZ"/>
        </w:rPr>
        <w:t>Recommended methods of analysis and sampling</w:t>
      </w:r>
      <w:r>
        <w:rPr>
          <w:rFonts w:cs="Arial"/>
          <w:szCs w:val="22"/>
        </w:rPr>
        <w:t xml:space="preserve"> (Codex, 1999)</w:t>
      </w:r>
      <w:r>
        <w:rPr>
          <w:rFonts w:cs="Arial"/>
          <w:i/>
          <w:szCs w:val="22"/>
          <w:lang w:val="en-NZ"/>
        </w:rPr>
        <w:t>.</w:t>
      </w:r>
    </w:p>
    <w:p w14:paraId="02C35882" w14:textId="77777777" w:rsidR="006620B0" w:rsidRPr="004D60AC" w:rsidRDefault="006620B0" w:rsidP="00827BC8">
      <w:pPr>
        <w:rPr>
          <w:rFonts w:cs="Arial"/>
          <w:szCs w:val="22"/>
        </w:rPr>
      </w:pPr>
    </w:p>
    <w:p w14:paraId="66B1DBB0" w14:textId="484D56BB" w:rsidR="003659D0" w:rsidRDefault="001755B0" w:rsidP="00AE6FDC">
      <w:pPr>
        <w:rPr>
          <w:rFonts w:ascii="Noto Sans" w:hAnsi="Noto Sans" w:cs="Arial"/>
          <w:color w:val="333333"/>
          <w:lang w:val="en"/>
        </w:rPr>
      </w:pPr>
      <w:r>
        <w:lastRenderedPageBreak/>
        <w:t xml:space="preserve">In late 2019, </w:t>
      </w:r>
      <w:r>
        <w:rPr>
          <w:rFonts w:cs="Arial"/>
          <w:bCs/>
          <w:szCs w:val="22"/>
          <w:lang w:val="en-NZ"/>
        </w:rPr>
        <w:t>AOAC 2017.16 was</w:t>
      </w:r>
      <w:r w:rsidRPr="004D60AC">
        <w:rPr>
          <w:rFonts w:cs="Arial"/>
          <w:bCs/>
          <w:szCs w:val="22"/>
          <w:lang w:val="en-NZ"/>
        </w:rPr>
        <w:t xml:space="preserve"> referred to the Codex Committee on Methods of Analysis and Sampling </w:t>
      </w:r>
      <w:r>
        <w:rPr>
          <w:rFonts w:cs="Arial"/>
          <w:bCs/>
          <w:szCs w:val="22"/>
          <w:lang w:val="en-NZ"/>
        </w:rPr>
        <w:t>for consideration</w:t>
      </w:r>
      <w:r>
        <w:t xml:space="preserve"> as a Type I method to replace AOAC 2009.01, which is the </w:t>
      </w:r>
      <w:r>
        <w:rPr>
          <w:rFonts w:cs="Arial"/>
          <w:szCs w:val="22"/>
        </w:rPr>
        <w:t xml:space="preserve">predecessor to AOAC 2017.16 </w:t>
      </w:r>
      <w:r>
        <w:t>(</w:t>
      </w:r>
      <w:r>
        <w:rPr>
          <w:rFonts w:cs="Arial"/>
          <w:szCs w:val="22"/>
        </w:rPr>
        <w:t>CCNFSDU</w:t>
      </w:r>
      <w:r>
        <w:t xml:space="preserve"> 2019; </w:t>
      </w:r>
      <w:r>
        <w:rPr>
          <w:rFonts w:cs="Arial"/>
          <w:szCs w:val="22"/>
        </w:rPr>
        <w:t>CCNFSDU</w:t>
      </w:r>
      <w:r>
        <w:t xml:space="preserve"> 2020)</w:t>
      </w:r>
      <w:r w:rsidR="008265F6">
        <w:t xml:space="preserve"> </w:t>
      </w:r>
      <w:r w:rsidR="008265F6">
        <w:rPr>
          <w:rFonts w:cs="Arial"/>
          <w:szCs w:val="22"/>
        </w:rPr>
        <w:t>but is not permitted in the Code</w:t>
      </w:r>
      <w:r w:rsidR="006620B0">
        <w:t>.</w:t>
      </w:r>
    </w:p>
    <w:p w14:paraId="2D3511D7" w14:textId="387E6600" w:rsidR="003659D0" w:rsidRDefault="003659D0" w:rsidP="003863C7">
      <w:pPr>
        <w:pStyle w:val="Heading3"/>
        <w:widowControl/>
      </w:pPr>
      <w:bookmarkStart w:id="47" w:name="_Toc67321504"/>
      <w:bookmarkStart w:id="48" w:name="_Toc69987910"/>
      <w:bookmarkStart w:id="49" w:name="_Toc70002632"/>
      <w:r>
        <w:t>1.</w:t>
      </w:r>
      <w:r w:rsidR="00387B6A">
        <w:t>4</w:t>
      </w:r>
      <w:r w:rsidR="007C6EE2">
        <w:t>.</w:t>
      </w:r>
      <w:r w:rsidR="001A1D24">
        <w:t>2</w:t>
      </w:r>
      <w:r>
        <w:tab/>
      </w:r>
      <w:r w:rsidRPr="004D60AC">
        <w:t>U</w:t>
      </w:r>
      <w:r>
        <w:t xml:space="preserve">nited </w:t>
      </w:r>
      <w:r w:rsidRPr="004D60AC">
        <w:t>S</w:t>
      </w:r>
      <w:r>
        <w:t>tates</w:t>
      </w:r>
      <w:bookmarkEnd w:id="47"/>
      <w:bookmarkEnd w:id="48"/>
      <w:bookmarkEnd w:id="49"/>
    </w:p>
    <w:p w14:paraId="01AD50DF" w14:textId="5995ED44" w:rsidR="003659D0" w:rsidRPr="004D60AC" w:rsidRDefault="003659D0" w:rsidP="003863C7">
      <w:pPr>
        <w:widowControl/>
        <w:rPr>
          <w:rFonts w:cs="Arial"/>
          <w:szCs w:val="22"/>
          <w:lang w:val="en"/>
        </w:rPr>
      </w:pPr>
      <w:r w:rsidRPr="004D60AC">
        <w:rPr>
          <w:rFonts w:cs="Arial"/>
          <w:szCs w:val="22"/>
          <w:lang w:val="en"/>
        </w:rPr>
        <w:t xml:space="preserve">In 2016, the US </w:t>
      </w:r>
      <w:r w:rsidR="00351593" w:rsidRPr="00DA1707">
        <w:rPr>
          <w:rFonts w:cs="Arial"/>
          <w:szCs w:val="22"/>
          <w:lang w:val="en"/>
        </w:rPr>
        <w:t>Food and Drug Administration</w:t>
      </w:r>
      <w:r w:rsidR="00351593" w:rsidRPr="004D60AC">
        <w:rPr>
          <w:rFonts w:cs="Arial"/>
          <w:szCs w:val="22"/>
          <w:lang w:val="en"/>
        </w:rPr>
        <w:t xml:space="preserve"> </w:t>
      </w:r>
      <w:r w:rsidR="00351593">
        <w:rPr>
          <w:rFonts w:cs="Arial"/>
          <w:szCs w:val="22"/>
          <w:lang w:val="en"/>
        </w:rPr>
        <w:t xml:space="preserve">(US </w:t>
      </w:r>
      <w:r w:rsidRPr="004D60AC">
        <w:rPr>
          <w:rFonts w:cs="Arial"/>
          <w:szCs w:val="22"/>
          <w:lang w:val="en"/>
        </w:rPr>
        <w:t>FDA</w:t>
      </w:r>
      <w:r w:rsidR="00351593">
        <w:rPr>
          <w:rFonts w:cs="Arial"/>
          <w:szCs w:val="22"/>
          <w:lang w:val="en"/>
        </w:rPr>
        <w:t>)</w:t>
      </w:r>
      <w:r w:rsidRPr="004D60AC">
        <w:rPr>
          <w:rFonts w:cs="Arial"/>
          <w:szCs w:val="22"/>
          <w:lang w:val="en"/>
        </w:rPr>
        <w:t xml:space="preserve"> announced the Nutrition and Supplement Facts label </w:t>
      </w:r>
      <w:r w:rsidR="00D24B52">
        <w:rPr>
          <w:rFonts w:cs="Arial"/>
          <w:szCs w:val="22"/>
          <w:lang w:val="en"/>
        </w:rPr>
        <w:t>‘</w:t>
      </w:r>
      <w:r w:rsidRPr="004D60AC">
        <w:rPr>
          <w:rFonts w:cs="Arial"/>
          <w:szCs w:val="22"/>
          <w:lang w:val="en"/>
        </w:rPr>
        <w:t>final rule</w:t>
      </w:r>
      <w:r w:rsidR="00D24B52">
        <w:rPr>
          <w:rFonts w:cs="Arial"/>
          <w:szCs w:val="22"/>
          <w:lang w:val="en"/>
        </w:rPr>
        <w:t>’</w:t>
      </w:r>
      <w:r w:rsidRPr="004D60AC">
        <w:rPr>
          <w:rFonts w:cs="Arial"/>
          <w:szCs w:val="22"/>
          <w:lang w:val="en"/>
        </w:rPr>
        <w:t xml:space="preserve">, </w:t>
      </w:r>
      <w:r w:rsidR="00411EBC">
        <w:rPr>
          <w:rFonts w:cs="Arial"/>
          <w:szCs w:val="22"/>
          <w:lang w:val="en"/>
        </w:rPr>
        <w:t xml:space="preserve">which included a definition of dietary </w:t>
      </w:r>
      <w:r w:rsidR="00E73AB8">
        <w:rPr>
          <w:rFonts w:cs="Arial"/>
          <w:szCs w:val="22"/>
          <w:lang w:val="en"/>
        </w:rPr>
        <w:t>fibre</w:t>
      </w:r>
      <w:r w:rsidR="001755B0" w:rsidRPr="004D60AC">
        <w:rPr>
          <w:rFonts w:cs="Arial"/>
          <w:szCs w:val="22"/>
          <w:lang w:val="en"/>
        </w:rPr>
        <w:t xml:space="preserve"> </w:t>
      </w:r>
      <w:r w:rsidRPr="004D60AC">
        <w:rPr>
          <w:rFonts w:cs="Arial"/>
          <w:szCs w:val="22"/>
          <w:lang w:val="en"/>
        </w:rPr>
        <w:t>and identified seven isolated or synthetic non-digestible carbohydrates</w:t>
      </w:r>
      <w:r w:rsidR="00411EBC">
        <w:rPr>
          <w:rFonts w:cs="Arial"/>
          <w:szCs w:val="22"/>
          <w:lang w:val="en"/>
        </w:rPr>
        <w:t xml:space="preserve"> </w:t>
      </w:r>
      <w:r w:rsidRPr="004D60AC">
        <w:rPr>
          <w:rFonts w:cs="Arial"/>
          <w:szCs w:val="22"/>
          <w:lang w:val="en"/>
        </w:rPr>
        <w:t>as meetin</w:t>
      </w:r>
      <w:r w:rsidR="00D24B52">
        <w:rPr>
          <w:rFonts w:cs="Arial"/>
          <w:szCs w:val="22"/>
          <w:lang w:val="en"/>
        </w:rPr>
        <w:t xml:space="preserve">g the dietary </w:t>
      </w:r>
      <w:r w:rsidR="00C16487">
        <w:rPr>
          <w:rFonts w:cs="Arial"/>
          <w:szCs w:val="22"/>
          <w:lang w:val="en"/>
        </w:rPr>
        <w:t xml:space="preserve">fibre </w:t>
      </w:r>
      <w:r w:rsidR="00D24B52">
        <w:rPr>
          <w:rFonts w:cs="Arial"/>
          <w:szCs w:val="22"/>
          <w:lang w:val="en"/>
        </w:rPr>
        <w:t>definition.</w:t>
      </w:r>
    </w:p>
    <w:p w14:paraId="710437ED" w14:textId="77777777" w:rsidR="003659D0" w:rsidRPr="004D60AC" w:rsidRDefault="003659D0" w:rsidP="003863C7">
      <w:pPr>
        <w:widowControl/>
        <w:rPr>
          <w:rFonts w:cs="Arial"/>
          <w:szCs w:val="22"/>
          <w:lang w:val="en"/>
        </w:rPr>
      </w:pPr>
    </w:p>
    <w:p w14:paraId="2C2D28F6" w14:textId="77777777" w:rsidR="004E1CCF" w:rsidRDefault="003659D0" w:rsidP="00697977">
      <w:pPr>
        <w:widowControl/>
        <w:spacing w:after="240"/>
        <w:rPr>
          <w:szCs w:val="22"/>
        </w:rPr>
      </w:pPr>
      <w:r w:rsidRPr="004D60AC">
        <w:rPr>
          <w:rFonts w:cs="Arial"/>
          <w:szCs w:val="22"/>
          <w:lang w:val="en"/>
        </w:rPr>
        <w:t>The US FDA defines dietary fibre as:</w:t>
      </w:r>
    </w:p>
    <w:tbl>
      <w:tblPr>
        <w:tblStyle w:val="TableGrid"/>
        <w:tblW w:w="0" w:type="auto"/>
        <w:tblLook w:val="04A0" w:firstRow="1" w:lastRow="0" w:firstColumn="1" w:lastColumn="0" w:noHBand="0" w:noVBand="1"/>
        <w:tblDescription w:val="US FDA dietary fibre definition"/>
      </w:tblPr>
      <w:tblGrid>
        <w:gridCol w:w="9060"/>
      </w:tblGrid>
      <w:tr w:rsidR="004E1CCF" w14:paraId="3018B84A" w14:textId="77777777" w:rsidTr="004E1CCF">
        <w:tc>
          <w:tcPr>
            <w:tcW w:w="9060" w:type="dxa"/>
          </w:tcPr>
          <w:p w14:paraId="44B6B3B3" w14:textId="642026A8" w:rsidR="004E1CCF" w:rsidRPr="001D3DEA" w:rsidRDefault="004E1CCF" w:rsidP="004E1CCF">
            <w:pPr>
              <w:widowControl/>
              <w:spacing w:before="240" w:after="240"/>
              <w:rPr>
                <w:rFonts w:cs="Arial"/>
                <w:szCs w:val="22"/>
                <w:lang w:val="en"/>
              </w:rPr>
            </w:pPr>
            <w:r w:rsidRPr="00F13EAC">
              <w:rPr>
                <w:rFonts w:cs="Arial"/>
                <w:szCs w:val="22"/>
                <w:lang w:val="en"/>
              </w:rPr>
              <w:t>Dietary fiber is defined as non-digestible soluble and insoluble carbohydrates (with 3 or more monomeric units), and lignin that are intrinsic and intact in plants; isolated or synthetic non-digestible carbohydrates (with 3 or more monomeric units) determined by FDA to have physiological effects that are beneficial to human health.</w:t>
            </w:r>
            <w:r w:rsidRPr="001D3DEA">
              <w:rPr>
                <w:rFonts w:cs="Arial"/>
                <w:szCs w:val="22"/>
                <w:lang w:val="en"/>
              </w:rPr>
              <w:t xml:space="preserve"> </w:t>
            </w:r>
          </w:p>
        </w:tc>
      </w:tr>
    </w:tbl>
    <w:p w14:paraId="3AF0C54C" w14:textId="39D404F4" w:rsidR="001755B0" w:rsidRPr="004D60AC" w:rsidRDefault="003659D0" w:rsidP="004E1CCF">
      <w:pPr>
        <w:widowControl/>
        <w:spacing w:before="240" w:after="240"/>
        <w:rPr>
          <w:rFonts w:cs="Arial"/>
          <w:szCs w:val="22"/>
          <w:lang w:val="en"/>
        </w:rPr>
      </w:pPr>
      <w:r w:rsidRPr="004D60AC">
        <w:rPr>
          <w:rFonts w:cs="Arial"/>
          <w:szCs w:val="22"/>
          <w:lang w:val="en"/>
        </w:rPr>
        <w:t>The following are examples</w:t>
      </w:r>
      <w:r w:rsidR="00411EBC">
        <w:rPr>
          <w:rFonts w:cs="Arial"/>
          <w:szCs w:val="22"/>
          <w:lang w:val="en"/>
        </w:rPr>
        <w:t xml:space="preserve"> (not exhaustive)</w:t>
      </w:r>
      <w:r w:rsidRPr="004D60AC">
        <w:rPr>
          <w:rFonts w:cs="Arial"/>
          <w:szCs w:val="22"/>
          <w:lang w:val="en"/>
        </w:rPr>
        <w:t xml:space="preserve"> of beneficial physiological effects </w:t>
      </w:r>
      <w:r w:rsidR="00411EBC">
        <w:rPr>
          <w:rFonts w:cs="Arial"/>
          <w:szCs w:val="22"/>
          <w:lang w:val="en"/>
        </w:rPr>
        <w:t xml:space="preserve">accepted by the </w:t>
      </w:r>
      <w:r w:rsidR="00411EBC" w:rsidRPr="004D60AC">
        <w:rPr>
          <w:rFonts w:cs="Arial"/>
          <w:szCs w:val="22"/>
          <w:lang w:val="en"/>
        </w:rPr>
        <w:t xml:space="preserve">US FDA </w:t>
      </w:r>
      <w:r w:rsidRPr="004D60AC">
        <w:rPr>
          <w:rFonts w:cs="Arial"/>
          <w:szCs w:val="22"/>
          <w:lang w:val="en"/>
        </w:rPr>
        <w:t xml:space="preserve">for </w:t>
      </w:r>
      <w:r>
        <w:rPr>
          <w:rFonts w:cs="Arial"/>
          <w:szCs w:val="22"/>
          <w:lang w:val="en"/>
        </w:rPr>
        <w:t xml:space="preserve">isolated or synthetic </w:t>
      </w:r>
      <w:r w:rsidRPr="004D60AC">
        <w:rPr>
          <w:rFonts w:cs="Arial"/>
          <w:szCs w:val="22"/>
          <w:lang w:val="en"/>
        </w:rPr>
        <w:t>dietary fibre</w:t>
      </w:r>
      <w:r w:rsidR="00411EBC">
        <w:rPr>
          <w:rFonts w:cs="Arial"/>
          <w:szCs w:val="22"/>
          <w:lang w:val="en"/>
        </w:rPr>
        <w:t>s</w:t>
      </w:r>
      <w:r w:rsidR="00BA011E">
        <w:rPr>
          <w:rFonts w:cs="Arial"/>
          <w:szCs w:val="22"/>
          <w:lang w:val="en"/>
        </w:rPr>
        <w:t>. One or more of the following must be met</w:t>
      </w:r>
      <w:r w:rsidRPr="004D60AC">
        <w:rPr>
          <w:rFonts w:cs="Arial"/>
          <w:szCs w:val="22"/>
          <w:lang w:val="en"/>
        </w:rPr>
        <w:t>:</w:t>
      </w:r>
    </w:p>
    <w:p w14:paraId="39E02C28" w14:textId="77777777" w:rsidR="003659D0" w:rsidRPr="00D24B52" w:rsidRDefault="003659D0" w:rsidP="00542857">
      <w:pPr>
        <w:pStyle w:val="FSBullet1"/>
        <w:numPr>
          <w:ilvl w:val="0"/>
          <w:numId w:val="70"/>
        </w:numPr>
        <w:rPr>
          <w:lang w:val="en"/>
        </w:rPr>
      </w:pPr>
      <w:r w:rsidRPr="00D24B52">
        <w:rPr>
          <w:lang w:val="en"/>
        </w:rPr>
        <w:t>Lowering blood glucose</w:t>
      </w:r>
    </w:p>
    <w:p w14:paraId="680ACEAC" w14:textId="77777777" w:rsidR="003659D0" w:rsidRPr="00D24B52" w:rsidRDefault="003659D0" w:rsidP="00542857">
      <w:pPr>
        <w:pStyle w:val="FSBullet1"/>
        <w:numPr>
          <w:ilvl w:val="0"/>
          <w:numId w:val="70"/>
        </w:numPr>
        <w:rPr>
          <w:lang w:val="en"/>
        </w:rPr>
      </w:pPr>
      <w:r w:rsidRPr="00D24B52">
        <w:rPr>
          <w:lang w:val="en"/>
        </w:rPr>
        <w:t>Lowering cholesterol levels</w:t>
      </w:r>
    </w:p>
    <w:p w14:paraId="01A79C04" w14:textId="77777777" w:rsidR="003659D0" w:rsidRPr="00D24B52" w:rsidRDefault="003659D0" w:rsidP="00542857">
      <w:pPr>
        <w:pStyle w:val="FSBullet1"/>
        <w:numPr>
          <w:ilvl w:val="0"/>
          <w:numId w:val="70"/>
        </w:numPr>
        <w:rPr>
          <w:lang w:val="en"/>
        </w:rPr>
      </w:pPr>
      <w:r w:rsidRPr="00D24B52">
        <w:rPr>
          <w:lang w:val="en"/>
        </w:rPr>
        <w:t>Lowering blood pressure</w:t>
      </w:r>
    </w:p>
    <w:p w14:paraId="1618FEC7" w14:textId="77777777" w:rsidR="003659D0" w:rsidRPr="00D24B52" w:rsidRDefault="003659D0" w:rsidP="00542857">
      <w:pPr>
        <w:pStyle w:val="FSBullet1"/>
        <w:numPr>
          <w:ilvl w:val="0"/>
          <w:numId w:val="70"/>
        </w:numPr>
        <w:rPr>
          <w:lang w:val="en"/>
        </w:rPr>
      </w:pPr>
      <w:r w:rsidRPr="00D24B52">
        <w:rPr>
          <w:lang w:val="en"/>
        </w:rPr>
        <w:t>Increase in frequency of bowel movements (improved laxation)</w:t>
      </w:r>
    </w:p>
    <w:p w14:paraId="57F2CA0C" w14:textId="77777777" w:rsidR="003659D0" w:rsidRPr="00D24B52" w:rsidRDefault="003659D0" w:rsidP="00542857">
      <w:pPr>
        <w:pStyle w:val="FSBullet1"/>
        <w:numPr>
          <w:ilvl w:val="0"/>
          <w:numId w:val="70"/>
        </w:numPr>
        <w:rPr>
          <w:lang w:val="en"/>
        </w:rPr>
      </w:pPr>
      <w:r w:rsidRPr="00D24B52">
        <w:rPr>
          <w:lang w:val="en"/>
        </w:rPr>
        <w:t>Increased mineral absorption in the intestinal tract</w:t>
      </w:r>
    </w:p>
    <w:p w14:paraId="1E47B441" w14:textId="7A01FCFB" w:rsidR="003659D0" w:rsidRDefault="003659D0" w:rsidP="00542857">
      <w:pPr>
        <w:pStyle w:val="FSBullet1"/>
        <w:numPr>
          <w:ilvl w:val="0"/>
          <w:numId w:val="70"/>
        </w:numPr>
        <w:rPr>
          <w:lang w:val="en"/>
        </w:rPr>
      </w:pPr>
      <w:r w:rsidRPr="00D24B52">
        <w:rPr>
          <w:lang w:val="en"/>
        </w:rPr>
        <w:t>Reduced energy intake (for example, due to the fiber promoting a feeling of fullness).</w:t>
      </w:r>
    </w:p>
    <w:p w14:paraId="7BC9BACC" w14:textId="77777777" w:rsidR="00282D1A" w:rsidRPr="006620B0" w:rsidRDefault="00282D1A" w:rsidP="00FD005D">
      <w:pPr>
        <w:pStyle w:val="Heading5"/>
        <w:widowControl/>
      </w:pPr>
      <w:r>
        <w:t>Methods of analysis</w:t>
      </w:r>
    </w:p>
    <w:p w14:paraId="7B147465" w14:textId="5EB13992" w:rsidR="00282D1A" w:rsidRPr="00D24B52" w:rsidRDefault="00282D1A" w:rsidP="00FD005D">
      <w:pPr>
        <w:widowControl/>
        <w:rPr>
          <w:rFonts w:cs="Arial"/>
          <w:i/>
          <w:szCs w:val="22"/>
          <w:lang w:val="en"/>
        </w:rPr>
      </w:pPr>
      <w:r>
        <w:rPr>
          <w:rFonts w:cs="Arial"/>
          <w:szCs w:val="22"/>
          <w:lang w:val="en"/>
        </w:rPr>
        <w:t>Under their Code of Federal Regulations</w:t>
      </w:r>
      <w:r w:rsidR="00892C27">
        <w:rPr>
          <w:rFonts w:cs="Arial"/>
          <w:szCs w:val="22"/>
          <w:lang w:val="en"/>
        </w:rPr>
        <w:t xml:space="preserve"> (</w:t>
      </w:r>
      <w:r w:rsidR="00892C27" w:rsidRPr="00892C27">
        <w:rPr>
          <w:rFonts w:cs="Arial"/>
          <w:szCs w:val="22"/>
          <w:lang w:val="en"/>
        </w:rPr>
        <w:t>21CFR101</w:t>
      </w:r>
      <w:r w:rsidR="00892C27">
        <w:rPr>
          <w:rFonts w:cs="Arial"/>
          <w:szCs w:val="22"/>
          <w:lang w:val="en"/>
        </w:rPr>
        <w:t xml:space="preserve"> Food Labeling) (FDA 2020)</w:t>
      </w:r>
      <w:r>
        <w:rPr>
          <w:rFonts w:cs="Arial"/>
          <w:szCs w:val="22"/>
          <w:lang w:val="en"/>
        </w:rPr>
        <w:t xml:space="preserve">, the US FDA prescribes AOAC methods of analysis in some </w:t>
      </w:r>
      <w:r w:rsidR="0079544C">
        <w:rPr>
          <w:rFonts w:cs="Arial"/>
          <w:szCs w:val="22"/>
          <w:lang w:val="en"/>
        </w:rPr>
        <w:t xml:space="preserve">instances for dietary </w:t>
      </w:r>
      <w:r w:rsidR="00536B88">
        <w:rPr>
          <w:rFonts w:cs="Arial"/>
          <w:szCs w:val="22"/>
          <w:lang w:val="en"/>
        </w:rPr>
        <w:t>fibre</w:t>
      </w:r>
      <w:r w:rsidR="0079544C">
        <w:rPr>
          <w:rFonts w:cs="Arial"/>
          <w:szCs w:val="22"/>
          <w:lang w:val="en"/>
        </w:rPr>
        <w:t>, however indicates if no method is prescribed</w:t>
      </w:r>
      <w:r w:rsidR="008E0ACE">
        <w:rPr>
          <w:rFonts w:cs="Arial"/>
          <w:szCs w:val="22"/>
          <w:lang w:val="en"/>
        </w:rPr>
        <w:t>,</w:t>
      </w:r>
      <w:r w:rsidR="0079544C">
        <w:rPr>
          <w:rFonts w:cs="Arial"/>
          <w:szCs w:val="22"/>
          <w:lang w:val="en"/>
        </w:rPr>
        <w:t xml:space="preserve"> the analyst is to use an appropriate method for the respective sample. </w:t>
      </w:r>
    </w:p>
    <w:p w14:paraId="00C7DFA4" w14:textId="72292955" w:rsidR="003659D0" w:rsidRPr="00A66609" w:rsidRDefault="003659D0" w:rsidP="00FD005D">
      <w:pPr>
        <w:pStyle w:val="Heading3"/>
        <w:widowControl/>
        <w:ind w:left="0" w:firstLine="0"/>
      </w:pPr>
      <w:bookmarkStart w:id="50" w:name="_Toc67321505"/>
      <w:bookmarkStart w:id="51" w:name="_Toc69987911"/>
      <w:bookmarkStart w:id="52" w:name="_Toc70002633"/>
      <w:r>
        <w:t>1.</w:t>
      </w:r>
      <w:r w:rsidR="00387B6A">
        <w:t>4</w:t>
      </w:r>
      <w:r w:rsidR="007C6EE2">
        <w:t>.</w:t>
      </w:r>
      <w:r w:rsidR="001A1D24">
        <w:t>3</w:t>
      </w:r>
      <w:r>
        <w:tab/>
        <w:t>Canada</w:t>
      </w:r>
      <w:bookmarkEnd w:id="50"/>
      <w:bookmarkEnd w:id="51"/>
      <w:bookmarkEnd w:id="52"/>
    </w:p>
    <w:p w14:paraId="0D83EEF6" w14:textId="6E4FA783" w:rsidR="003659D0" w:rsidRDefault="00D24B52" w:rsidP="004E1CCF">
      <w:pPr>
        <w:spacing w:before="240" w:after="240"/>
        <w:rPr>
          <w:rFonts w:cs="Arial"/>
          <w:szCs w:val="22"/>
          <w:lang w:val="en" w:eastAsia="en-AU" w:bidi="ar-SA"/>
        </w:rPr>
      </w:pPr>
      <w:r>
        <w:rPr>
          <w:rFonts w:cs="Arial"/>
          <w:szCs w:val="22"/>
          <w:lang w:val="en" w:eastAsia="en-AU" w:bidi="ar-SA"/>
        </w:rPr>
        <w:t xml:space="preserve">In 2012, </w:t>
      </w:r>
      <w:r w:rsidR="003659D0">
        <w:rPr>
          <w:rFonts w:cs="Arial"/>
          <w:szCs w:val="22"/>
          <w:lang w:val="en" w:eastAsia="en-AU" w:bidi="ar-SA"/>
        </w:rPr>
        <w:t>Health Canada define</w:t>
      </w:r>
      <w:r w:rsidR="007A45CF">
        <w:rPr>
          <w:rFonts w:cs="Arial"/>
          <w:szCs w:val="22"/>
          <w:lang w:val="en" w:eastAsia="en-AU" w:bidi="ar-SA"/>
        </w:rPr>
        <w:t>d</w:t>
      </w:r>
      <w:r w:rsidR="003659D0">
        <w:rPr>
          <w:rFonts w:cs="Arial"/>
          <w:szCs w:val="22"/>
          <w:lang w:val="en" w:eastAsia="en-AU" w:bidi="ar-SA"/>
        </w:rPr>
        <w:t xml:space="preserve"> dietary fibre as</w:t>
      </w:r>
      <w:r>
        <w:rPr>
          <w:rFonts w:cs="Arial"/>
          <w:szCs w:val="22"/>
          <w:lang w:val="en" w:eastAsia="en-AU" w:bidi="ar-SA"/>
        </w:rPr>
        <w:t>:</w:t>
      </w:r>
    </w:p>
    <w:tbl>
      <w:tblPr>
        <w:tblStyle w:val="TableGrid"/>
        <w:tblW w:w="0" w:type="auto"/>
        <w:tblLook w:val="04A0" w:firstRow="1" w:lastRow="0" w:firstColumn="1" w:lastColumn="0" w:noHBand="0" w:noVBand="1"/>
        <w:tblDescription w:val="Health Canada dietary fibre defintition"/>
      </w:tblPr>
      <w:tblGrid>
        <w:gridCol w:w="9060"/>
      </w:tblGrid>
      <w:tr w:rsidR="004E1CCF" w14:paraId="12971947" w14:textId="77777777" w:rsidTr="004E1CCF">
        <w:tc>
          <w:tcPr>
            <w:tcW w:w="9060" w:type="dxa"/>
          </w:tcPr>
          <w:p w14:paraId="09146F12" w14:textId="77777777" w:rsidR="004E1CCF" w:rsidRPr="001D3DEA" w:rsidRDefault="004E1CCF" w:rsidP="004E1CCF">
            <w:pPr>
              <w:widowControl/>
              <w:numPr>
                <w:ilvl w:val="0"/>
                <w:numId w:val="15"/>
              </w:numPr>
              <w:spacing w:before="240"/>
              <w:rPr>
                <w:rFonts w:cs="Arial"/>
                <w:szCs w:val="22"/>
                <w:lang w:val="en" w:eastAsia="en-AU" w:bidi="ar-SA"/>
              </w:rPr>
            </w:pPr>
            <w:r w:rsidRPr="001D3DEA">
              <w:rPr>
                <w:rFonts w:cs="Arial"/>
                <w:szCs w:val="22"/>
                <w:lang w:val="en" w:eastAsia="en-AU" w:bidi="ar-SA"/>
              </w:rPr>
              <w:t>carbohydrates with a DP</w:t>
            </w:r>
            <w:r w:rsidRPr="001D3DEA">
              <w:t xml:space="preserve"> </w:t>
            </w:r>
            <w:r w:rsidRPr="001D3DEA">
              <w:rPr>
                <w:rFonts w:cs="Arial"/>
                <w:szCs w:val="22"/>
                <w:lang w:val="en" w:eastAsia="en-AU" w:bidi="ar-SA"/>
              </w:rPr>
              <w:t>of 3 or more that naturally occur in foods of plant origin and that are not digested and absorbed by the small intestine; and</w:t>
            </w:r>
          </w:p>
          <w:p w14:paraId="6FF5B14B" w14:textId="77777777" w:rsidR="004E1CCF" w:rsidRPr="001D3DEA" w:rsidRDefault="004E1CCF" w:rsidP="004E1CCF">
            <w:pPr>
              <w:widowControl/>
              <w:numPr>
                <w:ilvl w:val="0"/>
                <w:numId w:val="15"/>
              </w:numPr>
              <w:rPr>
                <w:rFonts w:cs="Arial"/>
                <w:szCs w:val="22"/>
                <w:lang w:val="en" w:eastAsia="en-AU" w:bidi="ar-SA"/>
              </w:rPr>
            </w:pPr>
            <w:r w:rsidRPr="001D3DEA">
              <w:rPr>
                <w:rFonts w:cs="Arial"/>
                <w:szCs w:val="22"/>
                <w:lang w:val="en" w:eastAsia="en-AU" w:bidi="ar-SA"/>
              </w:rPr>
              <w:t>accepted novel fibres.</w:t>
            </w:r>
          </w:p>
          <w:p w14:paraId="3F9F8D72" w14:textId="77777777" w:rsidR="004E1CCF" w:rsidRPr="001D3DEA" w:rsidRDefault="004E1CCF" w:rsidP="004E1CCF">
            <w:pPr>
              <w:widowControl/>
              <w:rPr>
                <w:rFonts w:cs="Arial"/>
                <w:szCs w:val="22"/>
                <w:lang w:val="en" w:eastAsia="en-AU" w:bidi="ar-SA"/>
              </w:rPr>
            </w:pPr>
          </w:p>
          <w:p w14:paraId="67022A59" w14:textId="77777777" w:rsidR="004E1CCF" w:rsidRPr="001D3DEA" w:rsidRDefault="004E1CCF" w:rsidP="004E1CCF">
            <w:pPr>
              <w:widowControl/>
              <w:rPr>
                <w:rFonts w:cs="Arial"/>
                <w:szCs w:val="22"/>
                <w:lang w:val="en" w:eastAsia="en-AU" w:bidi="ar-SA"/>
              </w:rPr>
            </w:pPr>
            <w:r w:rsidRPr="001D3DEA">
              <w:rPr>
                <w:rFonts w:cs="Arial"/>
                <w:szCs w:val="22"/>
                <w:lang w:val="en" w:eastAsia="en-AU" w:bidi="ar-SA"/>
              </w:rPr>
              <w:t>Novel fibres are ingredients manufactured to be sources of dietary fibre and consist of carbohydrates with a DP of 3 or more that are not digested and absorbed by the small intestine. They are synthetically produced or are obtained from natural sources which have no history of safe use as dietary fibre or which have been processed so as to modify the properties of the fibre contained therein. Accepted novel fibres have at least one physiological effect demonstrated by generally accepted scientific evidence.</w:t>
            </w:r>
          </w:p>
          <w:p w14:paraId="1ABAFD60" w14:textId="77777777" w:rsidR="004E1CCF" w:rsidRDefault="004E1CCF" w:rsidP="00FD005D">
            <w:pPr>
              <w:widowControl/>
              <w:rPr>
                <w:rFonts w:cs="Arial"/>
                <w:szCs w:val="22"/>
                <w:lang w:val="en" w:eastAsia="en-AU" w:bidi="ar-SA"/>
              </w:rPr>
            </w:pPr>
          </w:p>
        </w:tc>
      </w:tr>
    </w:tbl>
    <w:p w14:paraId="2DBA447A" w14:textId="3C513B82" w:rsidR="003659D0" w:rsidRDefault="007A45CF" w:rsidP="004E1CCF">
      <w:pPr>
        <w:widowControl/>
        <w:spacing w:before="240"/>
        <w:rPr>
          <w:rFonts w:cs="Arial"/>
          <w:szCs w:val="22"/>
          <w:lang w:val="en" w:eastAsia="en-AU" w:bidi="ar-SA"/>
        </w:rPr>
      </w:pPr>
      <w:r>
        <w:rPr>
          <w:rFonts w:cs="Arial"/>
          <w:szCs w:val="22"/>
          <w:lang w:val="en" w:eastAsia="en-AU" w:bidi="ar-SA"/>
        </w:rPr>
        <w:t xml:space="preserve">For </w:t>
      </w:r>
      <w:r w:rsidR="00351593">
        <w:rPr>
          <w:rFonts w:cs="Arial"/>
          <w:szCs w:val="22"/>
          <w:lang w:val="en" w:eastAsia="en-AU" w:bidi="ar-SA"/>
        </w:rPr>
        <w:t>n</w:t>
      </w:r>
      <w:r>
        <w:rPr>
          <w:rFonts w:cs="Arial"/>
          <w:szCs w:val="22"/>
          <w:lang w:val="en" w:eastAsia="en-AU" w:bidi="ar-SA"/>
        </w:rPr>
        <w:t>ovel fibres, H</w:t>
      </w:r>
      <w:r w:rsidR="003659D0">
        <w:rPr>
          <w:rFonts w:cs="Arial"/>
          <w:szCs w:val="22"/>
          <w:lang w:val="en" w:eastAsia="en-AU" w:bidi="ar-SA"/>
        </w:rPr>
        <w:t>ealth Canada recogni</w:t>
      </w:r>
      <w:r w:rsidR="004D1241">
        <w:rPr>
          <w:rFonts w:cs="Arial"/>
          <w:szCs w:val="22"/>
          <w:lang w:val="en" w:eastAsia="en-AU" w:bidi="ar-SA"/>
        </w:rPr>
        <w:t>s</w:t>
      </w:r>
      <w:r w:rsidR="003659D0">
        <w:rPr>
          <w:rFonts w:cs="Arial"/>
          <w:szCs w:val="22"/>
          <w:lang w:val="en" w:eastAsia="en-AU" w:bidi="ar-SA"/>
        </w:rPr>
        <w:t>e</w:t>
      </w:r>
      <w:r w:rsidR="008E0ACE">
        <w:rPr>
          <w:rFonts w:cs="Arial"/>
          <w:szCs w:val="22"/>
          <w:lang w:val="en" w:eastAsia="en-AU" w:bidi="ar-SA"/>
        </w:rPr>
        <w:t>s</w:t>
      </w:r>
      <w:r w:rsidR="003659D0">
        <w:rPr>
          <w:rFonts w:cs="Arial"/>
          <w:szCs w:val="22"/>
          <w:lang w:val="en" w:eastAsia="en-AU" w:bidi="ar-SA"/>
        </w:rPr>
        <w:t xml:space="preserve"> four physiological effects of dietary fibre</w:t>
      </w:r>
      <w:r w:rsidR="00BA011E">
        <w:rPr>
          <w:rFonts w:cs="Arial"/>
          <w:szCs w:val="22"/>
          <w:lang w:val="en" w:eastAsia="en-AU" w:bidi="ar-SA"/>
        </w:rPr>
        <w:t>. One or more effect</w:t>
      </w:r>
      <w:r w:rsidR="00086F2D">
        <w:rPr>
          <w:rFonts w:cs="Arial"/>
          <w:szCs w:val="22"/>
          <w:lang w:val="en" w:eastAsia="en-AU" w:bidi="ar-SA"/>
        </w:rPr>
        <w:t>(s)</w:t>
      </w:r>
      <w:r w:rsidR="00BA011E">
        <w:rPr>
          <w:rFonts w:cs="Arial"/>
          <w:szCs w:val="22"/>
          <w:lang w:val="en" w:eastAsia="en-AU" w:bidi="ar-SA"/>
        </w:rPr>
        <w:t xml:space="preserve"> must be met</w:t>
      </w:r>
      <w:r w:rsidR="003659D0">
        <w:rPr>
          <w:rFonts w:cs="Arial"/>
          <w:szCs w:val="22"/>
          <w:lang w:val="en" w:eastAsia="en-AU" w:bidi="ar-SA"/>
        </w:rPr>
        <w:t>:</w:t>
      </w:r>
    </w:p>
    <w:p w14:paraId="5DE1D4CF" w14:textId="77777777" w:rsidR="003659D0" w:rsidRDefault="003659D0" w:rsidP="00FD005D">
      <w:pPr>
        <w:widowControl/>
        <w:rPr>
          <w:rFonts w:cs="Arial"/>
          <w:szCs w:val="22"/>
          <w:lang w:val="en" w:eastAsia="en-AU" w:bidi="ar-SA"/>
        </w:rPr>
      </w:pPr>
    </w:p>
    <w:p w14:paraId="3BADF6E5" w14:textId="7911B305" w:rsidR="003659D0" w:rsidRPr="00F16126" w:rsidRDefault="003659D0" w:rsidP="00542857">
      <w:pPr>
        <w:pStyle w:val="FSBullet1"/>
        <w:numPr>
          <w:ilvl w:val="0"/>
          <w:numId w:val="72"/>
        </w:numPr>
        <w:rPr>
          <w:lang w:val="en" w:eastAsia="en-AU"/>
        </w:rPr>
      </w:pPr>
      <w:r w:rsidRPr="00F16126">
        <w:rPr>
          <w:lang w:val="en" w:eastAsia="en-AU"/>
        </w:rPr>
        <w:t>improving laxation or regu</w:t>
      </w:r>
      <w:r w:rsidR="0036254B">
        <w:rPr>
          <w:lang w:val="en" w:eastAsia="en-AU"/>
        </w:rPr>
        <w:t>larity by increasing stool bulk</w:t>
      </w:r>
    </w:p>
    <w:p w14:paraId="1BE58609" w14:textId="5361033F" w:rsidR="003659D0" w:rsidRPr="00F16126" w:rsidRDefault="003659D0" w:rsidP="00542857">
      <w:pPr>
        <w:pStyle w:val="FSBullet1"/>
        <w:numPr>
          <w:ilvl w:val="0"/>
          <w:numId w:val="72"/>
        </w:numPr>
        <w:rPr>
          <w:lang w:val="en" w:eastAsia="en-AU"/>
        </w:rPr>
      </w:pPr>
      <w:r w:rsidRPr="00F16126">
        <w:rPr>
          <w:lang w:val="en" w:eastAsia="en-AU"/>
        </w:rPr>
        <w:lastRenderedPageBreak/>
        <w:t>reducing blood total and/or low-density l</w:t>
      </w:r>
      <w:r w:rsidR="0036254B">
        <w:rPr>
          <w:lang w:val="en" w:eastAsia="en-AU"/>
        </w:rPr>
        <w:t>ipoprotein cholesterol levels</w:t>
      </w:r>
    </w:p>
    <w:p w14:paraId="4F53CEC0" w14:textId="3BBA1646" w:rsidR="003659D0" w:rsidRPr="00F16126" w:rsidRDefault="003659D0" w:rsidP="00542857">
      <w:pPr>
        <w:pStyle w:val="FSBullet1"/>
        <w:numPr>
          <w:ilvl w:val="0"/>
          <w:numId w:val="72"/>
        </w:numPr>
        <w:rPr>
          <w:lang w:val="en" w:eastAsia="en-AU"/>
        </w:rPr>
      </w:pPr>
      <w:r w:rsidRPr="00F16126">
        <w:rPr>
          <w:lang w:val="en" w:eastAsia="en-AU"/>
        </w:rPr>
        <w:t>reducing post-prandial blood glucose and/or insulin levels, or in</w:t>
      </w:r>
      <w:r w:rsidR="0036254B">
        <w:rPr>
          <w:lang w:val="en" w:eastAsia="en-AU"/>
        </w:rPr>
        <w:t>creasing sensitivity to insulin</w:t>
      </w:r>
    </w:p>
    <w:p w14:paraId="5D2F8087" w14:textId="77777777" w:rsidR="003659D0" w:rsidRPr="00F16126" w:rsidRDefault="003659D0" w:rsidP="00542857">
      <w:pPr>
        <w:pStyle w:val="FSBullet1"/>
        <w:numPr>
          <w:ilvl w:val="0"/>
          <w:numId w:val="72"/>
        </w:numPr>
        <w:rPr>
          <w:lang w:val="en" w:eastAsia="en-AU"/>
        </w:rPr>
      </w:pPr>
      <w:r w:rsidRPr="00F16126">
        <w:rPr>
          <w:lang w:val="en" w:eastAsia="en-AU"/>
        </w:rPr>
        <w:t>providing energy-yielding metabolites through colonic fermentation.</w:t>
      </w:r>
    </w:p>
    <w:p w14:paraId="0678FDED" w14:textId="77777777" w:rsidR="0066017D" w:rsidRPr="006620B0" w:rsidRDefault="0066017D" w:rsidP="00290C0C">
      <w:pPr>
        <w:pStyle w:val="Heading5"/>
        <w:widowControl/>
      </w:pPr>
      <w:r>
        <w:t>Methods of analysis</w:t>
      </w:r>
    </w:p>
    <w:p w14:paraId="25F1CF86" w14:textId="191770A6" w:rsidR="001A1D24" w:rsidRDefault="00411EBC" w:rsidP="006A1D0A">
      <w:pPr>
        <w:widowControl/>
        <w:rPr>
          <w:lang w:bidi="ar-SA"/>
        </w:rPr>
      </w:pPr>
      <w:r>
        <w:rPr>
          <w:lang w:bidi="ar-SA"/>
        </w:rPr>
        <w:t xml:space="preserve">Methods of analysis accepted by Health Canada are aligned with those accepted by Codex. For </w:t>
      </w:r>
      <w:r w:rsidR="00131BC3">
        <w:rPr>
          <w:lang w:bidi="ar-SA"/>
        </w:rPr>
        <w:t>total</w:t>
      </w:r>
      <w:r>
        <w:rPr>
          <w:lang w:bidi="ar-SA"/>
        </w:rPr>
        <w:t xml:space="preserve"> dietary fibre, AOAC 2009.01 is the most recently listed.</w:t>
      </w:r>
    </w:p>
    <w:p w14:paraId="40D14F45" w14:textId="65F272F1" w:rsidR="001A1D24" w:rsidRPr="004D60AC" w:rsidRDefault="001A1D24" w:rsidP="001A1D24">
      <w:pPr>
        <w:pStyle w:val="Heading3"/>
      </w:pPr>
      <w:bookmarkStart w:id="53" w:name="_Toc67321506"/>
      <w:bookmarkStart w:id="54" w:name="_Toc69987912"/>
      <w:bookmarkStart w:id="55" w:name="_Toc70002634"/>
      <w:r>
        <w:rPr>
          <w:lang w:val="en"/>
        </w:rPr>
        <w:t>1.</w:t>
      </w:r>
      <w:r w:rsidR="00387B6A">
        <w:rPr>
          <w:lang w:val="en"/>
        </w:rPr>
        <w:t>4</w:t>
      </w:r>
      <w:r>
        <w:rPr>
          <w:lang w:val="en"/>
        </w:rPr>
        <w:t>.4</w:t>
      </w:r>
      <w:r>
        <w:rPr>
          <w:lang w:val="en"/>
        </w:rPr>
        <w:tab/>
      </w:r>
      <w:r w:rsidRPr="004D60AC">
        <w:rPr>
          <w:lang w:val="en"/>
        </w:rPr>
        <w:t>E</w:t>
      </w:r>
      <w:r>
        <w:rPr>
          <w:lang w:val="en"/>
        </w:rPr>
        <w:t>uropean Union</w:t>
      </w:r>
      <w:bookmarkEnd w:id="53"/>
      <w:bookmarkEnd w:id="54"/>
      <w:bookmarkEnd w:id="55"/>
    </w:p>
    <w:p w14:paraId="75F4043F" w14:textId="77777777" w:rsidR="004E1CCF" w:rsidRDefault="001A1D24" w:rsidP="001A1D24">
      <w:pPr>
        <w:pStyle w:val="NormalWeb"/>
        <w:shd w:val="clear" w:color="auto" w:fill="FFFFFF"/>
        <w:jc w:val="both"/>
        <w:rPr>
          <w:rFonts w:ascii="Arial" w:hAnsi="Arial" w:cs="Arial"/>
          <w:color w:val="000000"/>
          <w:sz w:val="22"/>
          <w:szCs w:val="22"/>
          <w:lang w:val="en"/>
        </w:rPr>
      </w:pPr>
      <w:r>
        <w:rPr>
          <w:rFonts w:ascii="Arial" w:hAnsi="Arial" w:cs="Arial"/>
          <w:color w:val="000000"/>
          <w:sz w:val="22"/>
          <w:szCs w:val="22"/>
          <w:lang w:val="en"/>
        </w:rPr>
        <w:t>The European Commission (EU, 2011)</w:t>
      </w:r>
      <w:r w:rsidRPr="004D60AC">
        <w:rPr>
          <w:rFonts w:ascii="Arial" w:hAnsi="Arial" w:cs="Arial"/>
          <w:color w:val="000000"/>
          <w:sz w:val="22"/>
          <w:szCs w:val="22"/>
          <w:lang w:val="en"/>
        </w:rPr>
        <w:t xml:space="preserve"> defines fibre as:</w:t>
      </w:r>
      <w:r w:rsidR="005F69F9">
        <w:rPr>
          <w:rFonts w:ascii="Arial" w:hAnsi="Arial" w:cs="Arial"/>
          <w:color w:val="000000"/>
          <w:sz w:val="22"/>
          <w:szCs w:val="22"/>
          <w:lang w:val="en"/>
        </w:rPr>
        <w:t xml:space="preserve"> </w:t>
      </w:r>
    </w:p>
    <w:tbl>
      <w:tblPr>
        <w:tblStyle w:val="TableGrid"/>
        <w:tblW w:w="0" w:type="auto"/>
        <w:tblLook w:val="04A0" w:firstRow="1" w:lastRow="0" w:firstColumn="1" w:lastColumn="0" w:noHBand="0" w:noVBand="1"/>
        <w:tblDescription w:val="EU dietary fibre definition"/>
      </w:tblPr>
      <w:tblGrid>
        <w:gridCol w:w="9060"/>
      </w:tblGrid>
      <w:tr w:rsidR="004E1CCF" w14:paraId="2CEC2345" w14:textId="77777777" w:rsidTr="004E1CCF">
        <w:tc>
          <w:tcPr>
            <w:tcW w:w="9060" w:type="dxa"/>
          </w:tcPr>
          <w:p w14:paraId="71E904BC" w14:textId="77777777" w:rsidR="004E1CCF" w:rsidRPr="001D3DEA" w:rsidRDefault="004E1CCF" w:rsidP="0036254B">
            <w:pPr>
              <w:pStyle w:val="NormalWeb"/>
              <w:shd w:val="clear" w:color="auto" w:fill="FFFFFF"/>
              <w:spacing w:before="240" w:line="240" w:lineRule="auto"/>
              <w:jc w:val="both"/>
              <w:rPr>
                <w:rFonts w:ascii="Arial" w:hAnsi="Arial" w:cs="Arial"/>
                <w:color w:val="000000"/>
                <w:sz w:val="22"/>
                <w:szCs w:val="22"/>
                <w:lang w:val="en"/>
              </w:rPr>
            </w:pPr>
            <w:r w:rsidRPr="001D3DEA">
              <w:rPr>
                <w:rFonts w:ascii="Arial" w:hAnsi="Arial" w:cs="Arial"/>
                <w:color w:val="000000"/>
                <w:sz w:val="22"/>
                <w:szCs w:val="22"/>
                <w:lang w:val="en"/>
              </w:rPr>
              <w:t>Carbohydrate polymers with three or more monomeric units, which are neither digested nor absorbed in the human small intestine and belong to the following categories:</w:t>
            </w:r>
          </w:p>
          <w:p w14:paraId="1367909E" w14:textId="77777777" w:rsidR="004E1CCF" w:rsidRPr="001D3DEA" w:rsidRDefault="004E1CCF" w:rsidP="0036254B">
            <w:pPr>
              <w:pStyle w:val="NormalWeb"/>
              <w:numPr>
                <w:ilvl w:val="0"/>
                <w:numId w:val="82"/>
              </w:numPr>
              <w:shd w:val="clear" w:color="auto" w:fill="FFFFFF"/>
              <w:spacing w:after="0" w:line="240" w:lineRule="auto"/>
              <w:jc w:val="both"/>
              <w:rPr>
                <w:rFonts w:ascii="Arial" w:hAnsi="Arial" w:cs="Arial"/>
                <w:color w:val="000000"/>
                <w:sz w:val="22"/>
                <w:szCs w:val="22"/>
                <w:lang w:val="en"/>
              </w:rPr>
            </w:pPr>
            <w:r w:rsidRPr="001D3DEA">
              <w:rPr>
                <w:rFonts w:ascii="Arial" w:hAnsi="Arial" w:cs="Arial"/>
                <w:color w:val="000000"/>
                <w:sz w:val="22"/>
                <w:szCs w:val="22"/>
                <w:lang w:val="en"/>
              </w:rPr>
              <w:t>edible carbohydrate polymers naturally occurring in the food as consumed,</w:t>
            </w:r>
          </w:p>
          <w:p w14:paraId="0723BBAB" w14:textId="77777777" w:rsidR="004E1CCF" w:rsidRPr="001D3DEA" w:rsidRDefault="004E1CCF" w:rsidP="0036254B">
            <w:pPr>
              <w:pStyle w:val="NormalWeb"/>
              <w:numPr>
                <w:ilvl w:val="0"/>
                <w:numId w:val="82"/>
              </w:numPr>
              <w:shd w:val="clear" w:color="auto" w:fill="FFFFFF"/>
              <w:spacing w:after="0" w:line="240" w:lineRule="auto"/>
              <w:jc w:val="both"/>
              <w:rPr>
                <w:rFonts w:ascii="Arial" w:hAnsi="Arial" w:cs="Arial"/>
                <w:color w:val="000000"/>
                <w:sz w:val="22"/>
                <w:szCs w:val="22"/>
                <w:lang w:val="en"/>
              </w:rPr>
            </w:pPr>
            <w:r w:rsidRPr="001D3DEA">
              <w:rPr>
                <w:rFonts w:ascii="Arial" w:hAnsi="Arial" w:cs="Arial"/>
                <w:color w:val="000000"/>
                <w:sz w:val="22"/>
                <w:szCs w:val="22"/>
                <w:lang w:val="en"/>
              </w:rPr>
              <w:t>edible carbohydrate polymers which have been obtained from food raw material by physical, enzymatic or chemical means and which have a beneficial physiological effect demonstrated by generally accepted scientific evidence,</w:t>
            </w:r>
          </w:p>
          <w:p w14:paraId="0291C2D5" w14:textId="00E3406E" w:rsidR="004E1CCF" w:rsidRPr="0036254B" w:rsidRDefault="004E1CCF" w:rsidP="0036254B">
            <w:pPr>
              <w:pStyle w:val="ListParagraph"/>
              <w:numPr>
                <w:ilvl w:val="0"/>
                <w:numId w:val="82"/>
              </w:numPr>
              <w:spacing w:after="240"/>
              <w:rPr>
                <w:i/>
                <w:lang w:val="en"/>
              </w:rPr>
            </w:pPr>
            <w:r w:rsidRPr="001D3DEA">
              <w:rPr>
                <w:lang w:val="en"/>
              </w:rPr>
              <w:t>edible synthetic carbohydrate polymers which have a beneficial physiological effect demonstrated by generally accepted scientific evidence'.</w:t>
            </w:r>
          </w:p>
        </w:tc>
      </w:tr>
    </w:tbl>
    <w:p w14:paraId="5A401E00" w14:textId="1251E028" w:rsidR="001A1D24" w:rsidRPr="00996F0B" w:rsidRDefault="001A1D24" w:rsidP="0036254B">
      <w:pPr>
        <w:widowControl/>
        <w:spacing w:before="240" w:after="240"/>
        <w:rPr>
          <w:rFonts w:cs="Arial"/>
          <w:szCs w:val="22"/>
          <w:lang w:val="en"/>
        </w:rPr>
      </w:pPr>
      <w:r w:rsidRPr="00C50A42">
        <w:rPr>
          <w:rFonts w:cs="Arial"/>
          <w:szCs w:val="22"/>
          <w:lang w:val="en"/>
        </w:rPr>
        <w:t xml:space="preserve">Fibre </w:t>
      </w:r>
      <w:r>
        <w:rPr>
          <w:rFonts w:cs="Arial"/>
          <w:szCs w:val="22"/>
          <w:lang w:val="en"/>
        </w:rPr>
        <w:t>must have</w:t>
      </w:r>
      <w:r w:rsidRPr="00C50A42">
        <w:rPr>
          <w:rFonts w:cs="Arial"/>
          <w:szCs w:val="22"/>
          <w:lang w:val="en"/>
        </w:rPr>
        <w:t xml:space="preserve"> one or more beneficial physiological effects</w:t>
      </w:r>
      <w:r>
        <w:rPr>
          <w:rFonts w:cs="Arial"/>
          <w:szCs w:val="22"/>
          <w:lang w:val="en"/>
        </w:rPr>
        <w:t>; t</w:t>
      </w:r>
      <w:r w:rsidRPr="00996F0B">
        <w:rPr>
          <w:rFonts w:cs="Arial"/>
          <w:szCs w:val="22"/>
          <w:lang w:val="en"/>
        </w:rPr>
        <w:t xml:space="preserve">he </w:t>
      </w:r>
      <w:r w:rsidRPr="008657C8">
        <w:rPr>
          <w:rFonts w:cs="Arial"/>
          <w:szCs w:val="22"/>
        </w:rPr>
        <w:t>recognised</w:t>
      </w:r>
      <w:r w:rsidRPr="00996F0B">
        <w:rPr>
          <w:rFonts w:cs="Arial"/>
          <w:szCs w:val="22"/>
          <w:lang w:val="en"/>
        </w:rPr>
        <w:t xml:space="preserve"> beneficial physiological effects listed by the European Commission (</w:t>
      </w:r>
      <w:r>
        <w:rPr>
          <w:rFonts w:cs="Arial"/>
          <w:szCs w:val="22"/>
          <w:lang w:val="en"/>
        </w:rPr>
        <w:t xml:space="preserve">EC </w:t>
      </w:r>
      <w:r w:rsidRPr="00996F0B">
        <w:rPr>
          <w:rFonts w:cs="Arial"/>
          <w:szCs w:val="22"/>
          <w:lang w:val="en"/>
        </w:rPr>
        <w:t>2008) are:</w:t>
      </w:r>
    </w:p>
    <w:p w14:paraId="68CBC4EF" w14:textId="77777777" w:rsidR="001A1D24" w:rsidRPr="00996F0B" w:rsidRDefault="001A1D24" w:rsidP="00542857">
      <w:pPr>
        <w:pStyle w:val="FSBullet1"/>
        <w:numPr>
          <w:ilvl w:val="0"/>
          <w:numId w:val="73"/>
        </w:numPr>
        <w:rPr>
          <w:lang w:val="en"/>
        </w:rPr>
      </w:pPr>
      <w:r w:rsidRPr="00996F0B">
        <w:rPr>
          <w:shd w:val="clear" w:color="auto" w:fill="FFFFFF"/>
        </w:rPr>
        <w:t>decrease intestinal transit time</w:t>
      </w:r>
    </w:p>
    <w:p w14:paraId="6C4EE3FB" w14:textId="77777777" w:rsidR="001A1D24" w:rsidRPr="00996F0B" w:rsidRDefault="001A1D24" w:rsidP="00542857">
      <w:pPr>
        <w:pStyle w:val="FSBullet1"/>
        <w:numPr>
          <w:ilvl w:val="0"/>
          <w:numId w:val="73"/>
        </w:numPr>
        <w:rPr>
          <w:lang w:val="en"/>
        </w:rPr>
      </w:pPr>
      <w:r w:rsidRPr="00996F0B">
        <w:rPr>
          <w:shd w:val="clear" w:color="auto" w:fill="FFFFFF"/>
        </w:rPr>
        <w:t>increase stool bulk</w:t>
      </w:r>
    </w:p>
    <w:p w14:paraId="298D0840" w14:textId="77777777" w:rsidR="001A1D24" w:rsidRPr="00996F0B" w:rsidRDefault="001A1D24" w:rsidP="00542857">
      <w:pPr>
        <w:pStyle w:val="FSBullet1"/>
        <w:numPr>
          <w:ilvl w:val="0"/>
          <w:numId w:val="73"/>
        </w:numPr>
        <w:rPr>
          <w:lang w:val="en"/>
        </w:rPr>
      </w:pPr>
      <w:r w:rsidRPr="00996F0B">
        <w:rPr>
          <w:shd w:val="clear" w:color="auto" w:fill="FFFFFF"/>
        </w:rPr>
        <w:t>is fermentable by colonic microflora</w:t>
      </w:r>
    </w:p>
    <w:p w14:paraId="228240AA" w14:textId="77777777" w:rsidR="001A1D24" w:rsidRPr="00996F0B" w:rsidRDefault="001A1D24" w:rsidP="00542857">
      <w:pPr>
        <w:pStyle w:val="FSBullet1"/>
        <w:numPr>
          <w:ilvl w:val="0"/>
          <w:numId w:val="73"/>
        </w:numPr>
        <w:rPr>
          <w:lang w:val="en"/>
        </w:rPr>
      </w:pPr>
      <w:r w:rsidRPr="00996F0B">
        <w:rPr>
          <w:shd w:val="clear" w:color="auto" w:fill="FFFFFF"/>
        </w:rPr>
        <w:t>reduce blood total cholesterol</w:t>
      </w:r>
    </w:p>
    <w:p w14:paraId="79F7832F" w14:textId="77777777" w:rsidR="001A1D24" w:rsidRPr="00996F0B" w:rsidRDefault="001A1D24" w:rsidP="00542857">
      <w:pPr>
        <w:pStyle w:val="FSBullet1"/>
        <w:numPr>
          <w:ilvl w:val="0"/>
          <w:numId w:val="73"/>
        </w:numPr>
        <w:rPr>
          <w:lang w:val="en"/>
        </w:rPr>
      </w:pPr>
      <w:r w:rsidRPr="00996F0B">
        <w:rPr>
          <w:shd w:val="clear" w:color="auto" w:fill="FFFFFF"/>
        </w:rPr>
        <w:t>reduce blood LDL cholesterol levels</w:t>
      </w:r>
    </w:p>
    <w:p w14:paraId="2770A294" w14:textId="77777777" w:rsidR="001A1D24" w:rsidRPr="00876E1D" w:rsidRDefault="001A1D24" w:rsidP="00542857">
      <w:pPr>
        <w:pStyle w:val="FSBullet1"/>
        <w:numPr>
          <w:ilvl w:val="0"/>
          <w:numId w:val="73"/>
        </w:numPr>
        <w:rPr>
          <w:lang w:val="en"/>
        </w:rPr>
      </w:pPr>
      <w:r w:rsidRPr="00996F0B">
        <w:rPr>
          <w:shd w:val="clear" w:color="auto" w:fill="FFFFFF"/>
        </w:rPr>
        <w:t>reduce post-prandial blood glucose, or reduce blood insulin levels.</w:t>
      </w:r>
    </w:p>
    <w:p w14:paraId="2719CF06" w14:textId="77777777" w:rsidR="001A1D24" w:rsidRPr="006620B0" w:rsidRDefault="001A1D24" w:rsidP="001A1D24">
      <w:pPr>
        <w:pStyle w:val="Heading5"/>
        <w:widowControl/>
      </w:pPr>
      <w:r>
        <w:t>Methods of analysis</w:t>
      </w:r>
    </w:p>
    <w:p w14:paraId="2427E90E" w14:textId="698EA390" w:rsidR="001A1D24" w:rsidRPr="00876E1D" w:rsidRDefault="001A1D24" w:rsidP="001A1D24">
      <w:pPr>
        <w:widowControl/>
        <w:rPr>
          <w:rFonts w:cs="Arial"/>
          <w:szCs w:val="22"/>
          <w:lang w:val="en"/>
        </w:rPr>
      </w:pPr>
      <w:r>
        <w:rPr>
          <w:rFonts w:cs="Arial"/>
          <w:szCs w:val="22"/>
          <w:lang w:val="en"/>
        </w:rPr>
        <w:t xml:space="preserve">Methods of analysis accepted by the European Commission (EC 2012) are aligned with those accepted by Codex. For </w:t>
      </w:r>
      <w:r w:rsidR="00131BC3">
        <w:rPr>
          <w:rFonts w:cs="Arial"/>
          <w:szCs w:val="22"/>
          <w:lang w:val="en"/>
        </w:rPr>
        <w:t>total</w:t>
      </w:r>
      <w:r>
        <w:rPr>
          <w:rFonts w:cs="Arial"/>
          <w:szCs w:val="22"/>
          <w:lang w:val="en"/>
        </w:rPr>
        <w:t xml:space="preserve"> dietary fibre, AOAC 2009.01 is the most recently listed.</w:t>
      </w:r>
    </w:p>
    <w:p w14:paraId="21949427" w14:textId="759E99C7" w:rsidR="00387B6A" w:rsidRPr="00B71181" w:rsidRDefault="00387B6A" w:rsidP="00387B6A">
      <w:pPr>
        <w:pStyle w:val="Heading2"/>
        <w:widowControl/>
      </w:pPr>
      <w:bookmarkStart w:id="56" w:name="_Toc69987913"/>
      <w:bookmarkStart w:id="57" w:name="_Toc70002635"/>
      <w:r w:rsidRPr="00B71181">
        <w:t>1.</w:t>
      </w:r>
      <w:r>
        <w:t>5</w:t>
      </w:r>
      <w:r w:rsidRPr="00B71181">
        <w:tab/>
        <w:t>Reasons for accepting the application</w:t>
      </w:r>
      <w:bookmarkEnd w:id="56"/>
      <w:bookmarkEnd w:id="57"/>
      <w:r w:rsidRPr="00B71181">
        <w:t xml:space="preserve"> </w:t>
      </w:r>
    </w:p>
    <w:p w14:paraId="5C046599" w14:textId="77777777" w:rsidR="00387B6A" w:rsidRPr="004D60AC" w:rsidRDefault="00387B6A" w:rsidP="00387B6A">
      <w:pPr>
        <w:widowControl/>
        <w:spacing w:after="240"/>
        <w:rPr>
          <w:rFonts w:cs="Arial"/>
          <w:szCs w:val="22"/>
        </w:rPr>
      </w:pPr>
      <w:r w:rsidRPr="004D60AC">
        <w:rPr>
          <w:rFonts w:cs="Arial"/>
          <w:szCs w:val="22"/>
        </w:rPr>
        <w:t>The application was accepted for assessme</w:t>
      </w:r>
      <w:r>
        <w:rPr>
          <w:rFonts w:cs="Arial"/>
          <w:szCs w:val="22"/>
        </w:rPr>
        <w:t>nt because:</w:t>
      </w:r>
    </w:p>
    <w:p w14:paraId="2FBA865C" w14:textId="2FA576DA" w:rsidR="00387B6A" w:rsidRPr="00542857" w:rsidRDefault="00387B6A" w:rsidP="00542857">
      <w:pPr>
        <w:pStyle w:val="FSBullet1"/>
      </w:pPr>
      <w:r w:rsidRPr="00542857">
        <w:t>it complied with the procedural requirements under subsection 22(2) of the Food Standards Australia New Zealand Act 1991 (FSANZ Act); and</w:t>
      </w:r>
    </w:p>
    <w:p w14:paraId="21C140DB" w14:textId="43925046" w:rsidR="00387B6A" w:rsidRPr="00542857" w:rsidRDefault="00387B6A" w:rsidP="00542857">
      <w:pPr>
        <w:pStyle w:val="FSBullet1"/>
      </w:pPr>
      <w:r w:rsidRPr="00542857">
        <w:t>it related to a matter that warranted the variation of a food regulatory measure.</w:t>
      </w:r>
    </w:p>
    <w:p w14:paraId="0DE1C556" w14:textId="7993F264" w:rsidR="00387B6A" w:rsidRPr="00DB56C1" w:rsidRDefault="00387B6A" w:rsidP="00387B6A">
      <w:pPr>
        <w:pStyle w:val="Heading2"/>
      </w:pPr>
      <w:bookmarkStart w:id="58" w:name="_Toc69987914"/>
      <w:bookmarkStart w:id="59" w:name="_Toc70002636"/>
      <w:r w:rsidRPr="00DB56C1">
        <w:t>1.</w:t>
      </w:r>
      <w:r>
        <w:t>6</w:t>
      </w:r>
      <w:r w:rsidRPr="00DB56C1">
        <w:tab/>
        <w:t>Procedure for assessment</w:t>
      </w:r>
      <w:bookmarkEnd w:id="58"/>
      <w:bookmarkEnd w:id="59"/>
    </w:p>
    <w:p w14:paraId="28B3E95B" w14:textId="0F45C7AD" w:rsidR="001A1D24" w:rsidRPr="00B71181" w:rsidRDefault="00387B6A" w:rsidP="003F2BE9">
      <w:pPr>
        <w:widowControl/>
        <w:spacing w:after="240"/>
        <w:rPr>
          <w:lang w:bidi="ar-SA"/>
        </w:rPr>
      </w:pPr>
      <w:r w:rsidRPr="004D60AC">
        <w:rPr>
          <w:rFonts w:cs="Arial"/>
          <w:szCs w:val="22"/>
        </w:rPr>
        <w:t>The Application is being assessed under the General Procedure.</w:t>
      </w:r>
    </w:p>
    <w:p w14:paraId="5AEC29A8" w14:textId="77777777" w:rsidR="00CE56F5" w:rsidRPr="00C630D2" w:rsidRDefault="00CE56F5" w:rsidP="0082338B">
      <w:pPr>
        <w:pStyle w:val="Heading1"/>
      </w:pPr>
      <w:bookmarkStart w:id="60" w:name="_Toc67321507"/>
      <w:bookmarkStart w:id="61" w:name="_Toc69987915"/>
      <w:bookmarkStart w:id="62" w:name="_Toc70002637"/>
      <w:bookmarkStart w:id="63" w:name="_Toc286391009"/>
      <w:bookmarkStart w:id="64" w:name="_Toc300933425"/>
      <w:bookmarkStart w:id="65" w:name="_Toc120358583"/>
      <w:bookmarkStart w:id="66" w:name="_Toc175381440"/>
      <w:bookmarkStart w:id="67" w:name="_Toc11735630"/>
      <w:bookmarkStart w:id="68" w:name="_Toc29883114"/>
      <w:bookmarkStart w:id="69" w:name="_Toc41906801"/>
      <w:bookmarkStart w:id="70" w:name="_Toc41907548"/>
      <w:bookmarkStart w:id="71" w:name="_Toc120358578"/>
      <w:bookmarkStart w:id="72" w:name="_Toc175381435"/>
      <w:bookmarkEnd w:id="6"/>
      <w:bookmarkEnd w:id="7"/>
      <w:bookmarkEnd w:id="8"/>
      <w:bookmarkEnd w:id="9"/>
      <w:bookmarkEnd w:id="10"/>
      <w:bookmarkEnd w:id="41"/>
      <w:bookmarkEnd w:id="42"/>
      <w:bookmarkEnd w:id="43"/>
      <w:r w:rsidRPr="00C630D2">
        <w:lastRenderedPageBreak/>
        <w:t>2</w:t>
      </w:r>
      <w:r w:rsidRPr="00C630D2">
        <w:tab/>
        <w:t>Summary of the Assessment</w:t>
      </w:r>
      <w:bookmarkEnd w:id="60"/>
      <w:bookmarkEnd w:id="61"/>
      <w:bookmarkEnd w:id="62"/>
    </w:p>
    <w:p w14:paraId="310706C5" w14:textId="77777777" w:rsidR="00CE56F5" w:rsidRPr="004D60AC" w:rsidRDefault="00CE56F5" w:rsidP="0082338B">
      <w:pPr>
        <w:pStyle w:val="Heading2"/>
      </w:pPr>
      <w:bookmarkStart w:id="73" w:name="_Toc69987916"/>
      <w:bookmarkStart w:id="74" w:name="_Toc70002638"/>
      <w:bookmarkStart w:id="75" w:name="_Toc67321508"/>
      <w:r w:rsidRPr="004D60AC">
        <w:t>2.1</w:t>
      </w:r>
      <w:r w:rsidRPr="004D60AC">
        <w:tab/>
        <w:t>Risk assessment</w:t>
      </w:r>
      <w:bookmarkEnd w:id="63"/>
      <w:bookmarkEnd w:id="64"/>
      <w:bookmarkEnd w:id="73"/>
      <w:bookmarkEnd w:id="74"/>
      <w:r w:rsidRPr="004D60AC">
        <w:t xml:space="preserve"> </w:t>
      </w:r>
      <w:bookmarkEnd w:id="65"/>
      <w:bookmarkEnd w:id="66"/>
      <w:bookmarkEnd w:id="75"/>
    </w:p>
    <w:p w14:paraId="35FF951D" w14:textId="651229E0" w:rsidR="002B31BC" w:rsidRDefault="002B31BC" w:rsidP="00542857">
      <w:pPr>
        <w:widowControl/>
        <w:spacing w:before="120" w:after="240"/>
      </w:pPr>
      <w:r>
        <w:rPr>
          <w:rFonts w:cs="Arial"/>
          <w:szCs w:val="22"/>
        </w:rPr>
        <w:t xml:space="preserve">Based on best available scientific evidence, </w:t>
      </w:r>
      <w:r>
        <w:t xml:space="preserve">FSANZ considers </w:t>
      </w:r>
      <w:r>
        <w:rPr>
          <w:lang w:bidi="ar-SA"/>
        </w:rPr>
        <w:t xml:space="preserve">AOAC 2017.16 is a suitable regulatory method for manufacturers seeking to analyse foods having a wide range of </w:t>
      </w:r>
      <w:r w:rsidR="001D3DEA">
        <w:rPr>
          <w:lang w:bidi="ar-SA"/>
        </w:rPr>
        <w:t>HMWDF and LMWDF</w:t>
      </w:r>
      <w:r>
        <w:rPr>
          <w:lang w:bidi="ar-SA"/>
        </w:rPr>
        <w:t xml:space="preserve"> because it:</w:t>
      </w:r>
    </w:p>
    <w:p w14:paraId="3526FE9D" w14:textId="413D17B8" w:rsidR="00AC0409" w:rsidRDefault="00AC0409" w:rsidP="00AC0409">
      <w:pPr>
        <w:pStyle w:val="FSBullet1"/>
        <w:numPr>
          <w:ilvl w:val="0"/>
          <w:numId w:val="31"/>
        </w:numPr>
        <w:ind w:left="567" w:hanging="567"/>
      </w:pPr>
      <w:r>
        <w:t xml:space="preserve">is more comprehensive than older methods in the Code for measuring </w:t>
      </w:r>
      <w:r w:rsidR="00131BC3">
        <w:t>total</w:t>
      </w:r>
      <w:r>
        <w:t xml:space="preserve"> dietary fibre</w:t>
      </w:r>
    </w:p>
    <w:p w14:paraId="340291E5" w14:textId="244BA313" w:rsidR="00AC0409" w:rsidRPr="00456E67" w:rsidRDefault="00AC0409" w:rsidP="00AC0409">
      <w:pPr>
        <w:pStyle w:val="FSBullet1"/>
        <w:numPr>
          <w:ilvl w:val="0"/>
          <w:numId w:val="31"/>
        </w:numPr>
        <w:ind w:left="567" w:hanging="567"/>
        <w:rPr>
          <w:rFonts w:cstheme="minorBidi"/>
        </w:rPr>
      </w:pPr>
      <w:r w:rsidRPr="00F47ECA">
        <w:rPr>
          <w:rFonts w:eastAsia="TimesNewRomanPSMT"/>
        </w:rPr>
        <w:t xml:space="preserve">has a similar level of precision compared to </w:t>
      </w:r>
      <w:r>
        <w:rPr>
          <w:rFonts w:eastAsia="TimesNewRomanPSMT"/>
        </w:rPr>
        <w:t xml:space="preserve">older methods in the Code for </w:t>
      </w:r>
      <w:r w:rsidR="00131BC3">
        <w:rPr>
          <w:rFonts w:eastAsia="TimesNewRomanPSMT"/>
        </w:rPr>
        <w:t>total</w:t>
      </w:r>
      <w:r>
        <w:rPr>
          <w:rFonts w:eastAsia="TimesNewRomanPSMT"/>
        </w:rPr>
        <w:t xml:space="preserve"> dietary fibre </w:t>
      </w:r>
      <w:r w:rsidR="00E73AB8">
        <w:rPr>
          <w:rFonts w:eastAsia="TimesNewRomanPSMT"/>
        </w:rPr>
        <w:t>(</w:t>
      </w:r>
      <w:r w:rsidRPr="00F47ECA">
        <w:rPr>
          <w:rFonts w:eastAsia="TimesNewRomanPSMT"/>
        </w:rPr>
        <w:t>AOAC 985.29, 991.43 and 2001.03</w:t>
      </w:r>
      <w:r w:rsidR="00E73AB8">
        <w:rPr>
          <w:rFonts w:eastAsia="TimesNewRomanPSMT"/>
        </w:rPr>
        <w:t>)</w:t>
      </w:r>
    </w:p>
    <w:p w14:paraId="61A3D542" w14:textId="77777777" w:rsidR="00AC0409" w:rsidRDefault="00AC0409" w:rsidP="00AC0409">
      <w:pPr>
        <w:pStyle w:val="FSBullet1"/>
        <w:numPr>
          <w:ilvl w:val="0"/>
          <w:numId w:val="31"/>
        </w:numPr>
        <w:ind w:left="567" w:hanging="567"/>
      </w:pPr>
      <w:r>
        <w:t>has good recovery (mean recovery of 97.4% from 7 samples)</w:t>
      </w:r>
    </w:p>
    <w:p w14:paraId="6539215C" w14:textId="501A6433" w:rsidR="00AC0409" w:rsidRDefault="00AC0409" w:rsidP="00AC0409">
      <w:pPr>
        <w:pStyle w:val="FSBullet1"/>
        <w:numPr>
          <w:ilvl w:val="0"/>
          <w:numId w:val="31"/>
        </w:numPr>
        <w:ind w:left="567" w:hanging="567"/>
      </w:pPr>
      <w:r>
        <w:t xml:space="preserve">avoids the need to account for the double counting of specific dietary fibre fractions if </w:t>
      </w:r>
      <w:r w:rsidR="00131BC3">
        <w:t>total</w:t>
      </w:r>
      <w:r>
        <w:t xml:space="preserve"> dietary fibre is measured by two or more methods</w:t>
      </w:r>
    </w:p>
    <w:p w14:paraId="5BC1C533" w14:textId="18A79EF5" w:rsidR="00AC0409" w:rsidRDefault="00AC0409" w:rsidP="00AC0409">
      <w:pPr>
        <w:pStyle w:val="FSBullet1"/>
        <w:numPr>
          <w:ilvl w:val="0"/>
          <w:numId w:val="31"/>
        </w:numPr>
        <w:ind w:left="567" w:hanging="567"/>
        <w:rPr>
          <w:rFonts w:ascii="Calibri" w:hAnsi="Calibri"/>
        </w:rPr>
      </w:pPr>
      <w:r>
        <w:t>has an incubation temperature that matches physiological conditions (37</w:t>
      </w:r>
      <w:r w:rsidRPr="00F47ECA">
        <w:t>°</w:t>
      </w:r>
      <w:r>
        <w:t>C) and incubation time (4 h) that, compared with existing methods, aligns closer to conditions for the digestion of dietary fibre in the small intestine</w:t>
      </w:r>
    </w:p>
    <w:p w14:paraId="33B71C41" w14:textId="42BE10AA" w:rsidR="00AC0409" w:rsidRDefault="00AC0409" w:rsidP="00676549">
      <w:pPr>
        <w:pStyle w:val="FSBullet1"/>
        <w:numPr>
          <w:ilvl w:val="0"/>
          <w:numId w:val="31"/>
        </w:numPr>
        <w:spacing w:after="240"/>
        <w:ind w:left="567" w:hanging="567"/>
      </w:pPr>
      <w:r>
        <w:t xml:space="preserve">has substantially increased enzyme levels (compared to AOAC 985.29, 991.43 and </w:t>
      </w:r>
      <w:r w:rsidRPr="001D3DEA">
        <w:t>2009.01</w:t>
      </w:r>
      <w:r>
        <w:t xml:space="preserve">) so that the resistant starch values are in line with those seen in AOAC 2002.02 </w:t>
      </w:r>
      <w:r w:rsidRPr="001D3DEA">
        <w:t>and underestimations of fructo-oligosaccharide and overestimation of resistant maltodextrin seen in AOAC 2009.01 are resolved</w:t>
      </w:r>
      <w:r w:rsidR="004348F7">
        <w:t>.</w:t>
      </w:r>
    </w:p>
    <w:p w14:paraId="10922446" w14:textId="190DC054" w:rsidR="002C0E5D" w:rsidRDefault="002C0E5D" w:rsidP="002C0E5D">
      <w:pPr>
        <w:rPr>
          <w:lang w:bidi="ar-SA"/>
        </w:rPr>
      </w:pPr>
      <w:r w:rsidRPr="002C0E5D">
        <w:rPr>
          <w:lang w:bidi="ar-SA"/>
        </w:rPr>
        <w:t>AOAC 2009.01 is the predecessor method to AOAC 2017.16. Although AOAC 2009.01 is not permitted in the Code, it is currently accepted as a method of analysis for total dietary fibre by Codex and countries comparable to Australia and New Zealand such as Canada, the United States and European Union. However, Codex is currently considering replacing AOAC 2009.01 with AOAC 2017.16.</w:t>
      </w:r>
    </w:p>
    <w:p w14:paraId="3F980AAB" w14:textId="77777777" w:rsidR="002C0E5D" w:rsidRPr="002C0E5D" w:rsidRDefault="002C0E5D" w:rsidP="002C0E5D">
      <w:pPr>
        <w:rPr>
          <w:lang w:bidi="ar-SA"/>
        </w:rPr>
      </w:pPr>
    </w:p>
    <w:p w14:paraId="7B5928DF" w14:textId="6C8CF145" w:rsidR="00AC0409" w:rsidRDefault="001D3DEA" w:rsidP="001D3DEA">
      <w:pPr>
        <w:widowControl/>
        <w:rPr>
          <w:lang w:eastAsia="en-AU"/>
        </w:rPr>
      </w:pPr>
      <w:r>
        <w:t xml:space="preserve">AOAC 2017.16 will measure the </w:t>
      </w:r>
      <w:r w:rsidRPr="00B078C8">
        <w:rPr>
          <w:szCs w:val="22"/>
          <w:lang w:eastAsia="en-AU" w:bidi="ar-SA"/>
        </w:rPr>
        <w:t xml:space="preserve">components of dietary fibre </w:t>
      </w:r>
      <w:r>
        <w:rPr>
          <w:szCs w:val="22"/>
          <w:lang w:eastAsia="en-AU" w:bidi="ar-SA"/>
        </w:rPr>
        <w:t xml:space="preserve">that are </w:t>
      </w:r>
      <w:r>
        <w:t xml:space="preserve">measured by </w:t>
      </w:r>
      <w:r w:rsidRPr="00B078C8">
        <w:rPr>
          <w:szCs w:val="22"/>
          <w:lang w:eastAsia="en-AU" w:bidi="ar-SA"/>
        </w:rPr>
        <w:t>method</w:t>
      </w:r>
      <w:r>
        <w:rPr>
          <w:szCs w:val="22"/>
          <w:lang w:eastAsia="en-AU" w:bidi="ar-SA"/>
        </w:rPr>
        <w:t>s</w:t>
      </w:r>
      <w:r w:rsidRPr="00B078C8">
        <w:rPr>
          <w:szCs w:val="22"/>
          <w:lang w:eastAsia="en-AU" w:bidi="ar-SA"/>
        </w:rPr>
        <w:t xml:space="preserve"> of analysis </w:t>
      </w:r>
      <w:r>
        <w:rPr>
          <w:szCs w:val="22"/>
          <w:lang w:eastAsia="en-AU" w:bidi="ar-SA"/>
        </w:rPr>
        <w:t xml:space="preserve">currently </w:t>
      </w:r>
      <w:r w:rsidRPr="00B078C8">
        <w:rPr>
          <w:szCs w:val="22"/>
          <w:lang w:eastAsia="en-AU" w:bidi="ar-SA"/>
        </w:rPr>
        <w:t>permitted by the Code</w:t>
      </w:r>
      <w:r>
        <w:rPr>
          <w:szCs w:val="22"/>
          <w:lang w:eastAsia="en-AU" w:bidi="ar-SA"/>
        </w:rPr>
        <w:t xml:space="preserve"> for total dietary fibre</w:t>
      </w:r>
      <w:r>
        <w:t xml:space="preserve"> (i.e. </w:t>
      </w:r>
      <w:r>
        <w:rPr>
          <w:lang w:eastAsia="en-AU"/>
        </w:rPr>
        <w:t xml:space="preserve">985.29, 991.43 and 2001.03) and </w:t>
      </w:r>
      <w:r w:rsidR="002249EB">
        <w:rPr>
          <w:lang w:eastAsia="en-AU"/>
        </w:rPr>
        <w:t xml:space="preserve">for </w:t>
      </w:r>
      <w:r>
        <w:rPr>
          <w:lang w:eastAsia="en-AU"/>
        </w:rPr>
        <w:t>specifically named dietary fibres. An exception is galacto-oligosaccharides (GOS). AOAC 2017.16, if permitted, will include GOS in its calculation and measurement of total dietary fibre.</w:t>
      </w:r>
      <w:r w:rsidR="00463410">
        <w:rPr>
          <w:lang w:eastAsia="en-AU"/>
        </w:rPr>
        <w:t xml:space="preserve"> </w:t>
      </w:r>
      <w:r>
        <w:rPr>
          <w:lang w:eastAsia="en-AU"/>
        </w:rPr>
        <w:t xml:space="preserve">FSANZ therefore considered whether GOS met the Code’s definition of dietary fibre. </w:t>
      </w:r>
    </w:p>
    <w:p w14:paraId="1E696EFD" w14:textId="77777777" w:rsidR="001D3DEA" w:rsidRDefault="001D3DEA" w:rsidP="001D3DEA">
      <w:pPr>
        <w:widowControl/>
        <w:spacing w:before="120"/>
        <w:rPr>
          <w:rFonts w:eastAsia="Arial Unicode MS" w:cs="Arial"/>
          <w:szCs w:val="22"/>
          <w:lang w:eastAsia="en-AU"/>
        </w:rPr>
      </w:pPr>
      <w:r>
        <w:rPr>
          <w:rFonts w:cs="Arial"/>
          <w:szCs w:val="22"/>
          <w:lang w:bidi="ar-SA"/>
        </w:rPr>
        <w:t xml:space="preserve">GOS has been found to </w:t>
      </w:r>
      <w:r w:rsidRPr="00671283">
        <w:rPr>
          <w:rFonts w:cs="Arial"/>
          <w:szCs w:val="22"/>
          <w:lang w:bidi="ar-SA"/>
        </w:rPr>
        <w:t xml:space="preserve">meet </w:t>
      </w:r>
      <w:r>
        <w:rPr>
          <w:rFonts w:cs="Arial"/>
          <w:szCs w:val="22"/>
          <w:lang w:bidi="ar-SA"/>
        </w:rPr>
        <w:t xml:space="preserve">certain criteria for the  definition: </w:t>
      </w:r>
      <w:r w:rsidRPr="007A1359">
        <w:rPr>
          <w:rFonts w:cs="Arial"/>
          <w:szCs w:val="22"/>
          <w:lang w:bidi="ar-SA"/>
        </w:rPr>
        <w:t>fraction of the edible part of plants or their extracts, or synthetic analogues</w:t>
      </w:r>
      <w:r>
        <w:rPr>
          <w:rFonts w:cs="Arial"/>
          <w:szCs w:val="22"/>
          <w:lang w:bidi="ar-SA"/>
        </w:rPr>
        <w:t xml:space="preserve"> (naturally-occurring GOS in dairy foods does not meet this);</w:t>
      </w:r>
      <w:r w:rsidRPr="007A1359">
        <w:rPr>
          <w:rFonts w:eastAsia="Arial Unicode MS" w:cs="Arial"/>
          <w:szCs w:val="22"/>
          <w:lang w:bidi="ar-SA"/>
        </w:rPr>
        <w:t xml:space="preserve"> </w:t>
      </w:r>
      <w:r w:rsidRPr="00671283">
        <w:rPr>
          <w:rFonts w:eastAsia="Arial Unicode MS" w:cs="Arial"/>
          <w:szCs w:val="22"/>
          <w:lang w:eastAsia="en-AU"/>
        </w:rPr>
        <w:t>resistan</w:t>
      </w:r>
      <w:r>
        <w:rPr>
          <w:rFonts w:eastAsia="Arial Unicode MS" w:cs="Arial"/>
          <w:szCs w:val="22"/>
          <w:lang w:eastAsia="en-AU"/>
        </w:rPr>
        <w:t>ce</w:t>
      </w:r>
      <w:r w:rsidRPr="00671283">
        <w:rPr>
          <w:rFonts w:eastAsia="Arial Unicode MS" w:cs="Arial"/>
          <w:szCs w:val="22"/>
          <w:lang w:eastAsia="en-AU"/>
        </w:rPr>
        <w:t xml:space="preserve"> to digestion and absorption in the small intestine</w:t>
      </w:r>
      <w:r>
        <w:rPr>
          <w:rFonts w:eastAsia="Arial Unicode MS" w:cs="Arial"/>
          <w:szCs w:val="22"/>
          <w:lang w:eastAsia="en-AU"/>
        </w:rPr>
        <w:t>;</w:t>
      </w:r>
      <w:r w:rsidRPr="00671283">
        <w:rPr>
          <w:rFonts w:eastAsia="Arial Unicode MS" w:cs="Arial"/>
          <w:szCs w:val="22"/>
          <w:lang w:eastAsia="en-AU"/>
        </w:rPr>
        <w:t xml:space="preserve"> </w:t>
      </w:r>
      <w:r>
        <w:rPr>
          <w:rFonts w:eastAsia="Arial Unicode MS" w:cs="Arial"/>
          <w:szCs w:val="22"/>
          <w:lang w:eastAsia="en-AU"/>
        </w:rPr>
        <w:t xml:space="preserve">usually partial or complete </w:t>
      </w:r>
      <w:r w:rsidRPr="00671283">
        <w:rPr>
          <w:rFonts w:eastAsia="Arial Unicode MS" w:cs="Arial"/>
          <w:szCs w:val="22"/>
          <w:lang w:eastAsia="en-AU"/>
        </w:rPr>
        <w:t xml:space="preserve">fermentation in the large intestine; </w:t>
      </w:r>
      <w:r>
        <w:rPr>
          <w:rFonts w:cs="Arial"/>
          <w:szCs w:val="22"/>
          <w:lang w:bidi="ar-SA"/>
        </w:rPr>
        <w:t>the minimum degree of polymerisation (by virtue of analytical methods); and</w:t>
      </w:r>
      <w:r w:rsidRPr="00671283">
        <w:rPr>
          <w:rFonts w:cs="Arial"/>
          <w:szCs w:val="22"/>
          <w:lang w:bidi="ar-SA"/>
        </w:rPr>
        <w:t xml:space="preserve"> </w:t>
      </w:r>
      <w:r>
        <w:rPr>
          <w:rFonts w:eastAsia="Arial Unicode MS" w:cs="Arial"/>
          <w:szCs w:val="22"/>
          <w:lang w:eastAsia="en-AU"/>
        </w:rPr>
        <w:t>is not lignin.</w:t>
      </w:r>
    </w:p>
    <w:p w14:paraId="278F553C" w14:textId="77777777" w:rsidR="00DE3925" w:rsidRDefault="001D3DEA" w:rsidP="00AC0409">
      <w:pPr>
        <w:widowControl/>
        <w:spacing w:before="120"/>
        <w:rPr>
          <w:rFonts w:cs="Arial"/>
          <w:szCs w:val="22"/>
          <w:lang w:bidi="ar-SA"/>
        </w:rPr>
      </w:pPr>
      <w:r>
        <w:rPr>
          <w:rFonts w:cs="Arial"/>
          <w:szCs w:val="22"/>
          <w:lang w:bidi="ar-SA"/>
        </w:rPr>
        <w:t xml:space="preserve">The definition also requires that GOS meet at least one of three beneficial physiological outcomes: </w:t>
      </w:r>
      <w:r w:rsidRPr="00957505">
        <w:rPr>
          <w:rFonts w:cs="Arial"/>
          <w:szCs w:val="22"/>
          <w:lang w:bidi="ar-SA"/>
        </w:rPr>
        <w:t>laxation</w:t>
      </w:r>
      <w:r>
        <w:rPr>
          <w:rFonts w:cs="Arial"/>
          <w:szCs w:val="22"/>
          <w:lang w:bidi="ar-SA"/>
        </w:rPr>
        <w:t>;</w:t>
      </w:r>
      <w:r w:rsidRPr="00957505">
        <w:rPr>
          <w:rFonts w:cs="Arial"/>
          <w:szCs w:val="22"/>
          <w:lang w:bidi="ar-SA"/>
        </w:rPr>
        <w:t xml:space="preserve"> reduction in blood cholesterol</w:t>
      </w:r>
      <w:r>
        <w:rPr>
          <w:rFonts w:cs="Arial"/>
          <w:szCs w:val="22"/>
          <w:lang w:bidi="ar-SA"/>
        </w:rPr>
        <w:t>;</w:t>
      </w:r>
      <w:r w:rsidRPr="00957505">
        <w:rPr>
          <w:rFonts w:cs="Arial"/>
          <w:szCs w:val="22"/>
          <w:lang w:bidi="ar-SA"/>
        </w:rPr>
        <w:t xml:space="preserve"> </w:t>
      </w:r>
      <w:r>
        <w:rPr>
          <w:rFonts w:cs="Arial"/>
          <w:szCs w:val="22"/>
          <w:lang w:bidi="ar-SA"/>
        </w:rPr>
        <w:t>and/or</w:t>
      </w:r>
      <w:r w:rsidRPr="00957505">
        <w:rPr>
          <w:rFonts w:cs="Arial"/>
          <w:szCs w:val="22"/>
          <w:lang w:bidi="ar-SA"/>
        </w:rPr>
        <w:t xml:space="preserve"> modulation of blood glucose</w:t>
      </w:r>
      <w:r>
        <w:rPr>
          <w:rFonts w:cs="Arial"/>
          <w:szCs w:val="22"/>
          <w:lang w:bidi="ar-SA"/>
        </w:rPr>
        <w:t xml:space="preserve">. </w:t>
      </w:r>
    </w:p>
    <w:p w14:paraId="21B72AF0" w14:textId="3284B137" w:rsidR="00AC0409" w:rsidRDefault="00AC0409" w:rsidP="00AC0409">
      <w:pPr>
        <w:widowControl/>
        <w:spacing w:before="120"/>
        <w:rPr>
          <w:rFonts w:cs="Arial"/>
          <w:szCs w:val="22"/>
          <w:lang w:bidi="ar-SA"/>
        </w:rPr>
      </w:pPr>
      <w:r>
        <w:rPr>
          <w:rFonts w:cs="Arial"/>
          <w:szCs w:val="22"/>
          <w:lang w:bidi="ar-SA"/>
        </w:rPr>
        <w:t xml:space="preserve">The body of evidence about the physiological effects of GOS only includes results from clinical trials which used synthetic analogues, not the natural forms, and shows that GOS does not affect the three beneficial physiological effects listed in the Code. Therefore, insofar as naturally occurring GOS is concerned, the </w:t>
      </w:r>
      <w:r>
        <w:rPr>
          <w:rFonts w:cs="Arial"/>
        </w:rPr>
        <w:t xml:space="preserve">physiological effects are inferred on the basis of structural similarities to synthetic analogues and extend from an indirect body of evidence (i.e. synthetic analogues). </w:t>
      </w:r>
      <w:r w:rsidRPr="005151FC">
        <w:rPr>
          <w:rFonts w:cs="Arial"/>
          <w:szCs w:val="22"/>
          <w:lang w:bidi="ar-SA"/>
        </w:rPr>
        <w:t>B</w:t>
      </w:r>
      <w:r w:rsidRPr="005151FC">
        <w:rPr>
          <w:lang w:bidi="ar-SA"/>
        </w:rPr>
        <w:t>ased on the best available scientific evidence</w:t>
      </w:r>
      <w:r w:rsidRPr="005151FC">
        <w:rPr>
          <w:rFonts w:cs="Arial"/>
          <w:szCs w:val="22"/>
          <w:lang w:bidi="ar-SA"/>
        </w:rPr>
        <w:t xml:space="preserve"> FSANZ concludes GOS in any form does not meet </w:t>
      </w:r>
      <w:r w:rsidR="00FE64A7">
        <w:rPr>
          <w:rFonts w:cs="Arial"/>
          <w:szCs w:val="22"/>
          <w:lang w:bidi="ar-SA"/>
        </w:rPr>
        <w:t xml:space="preserve">all </w:t>
      </w:r>
      <w:r w:rsidR="00AA7697">
        <w:rPr>
          <w:rFonts w:cs="Arial"/>
          <w:szCs w:val="22"/>
          <w:lang w:bidi="ar-SA"/>
        </w:rPr>
        <w:t xml:space="preserve">criteria </w:t>
      </w:r>
      <w:r w:rsidR="00FE64A7">
        <w:rPr>
          <w:rFonts w:cs="Arial"/>
          <w:szCs w:val="22"/>
          <w:lang w:bidi="ar-SA"/>
        </w:rPr>
        <w:t xml:space="preserve">for </w:t>
      </w:r>
      <w:r w:rsidRPr="005151FC">
        <w:rPr>
          <w:rFonts w:cs="Arial"/>
          <w:szCs w:val="22"/>
          <w:lang w:bidi="ar-SA"/>
        </w:rPr>
        <w:t>the Code’s definition of dietary fibre.</w:t>
      </w:r>
    </w:p>
    <w:p w14:paraId="1052497A" w14:textId="29FC3856" w:rsidR="00F13EAC" w:rsidRDefault="00F13EAC" w:rsidP="00AC0409">
      <w:pPr>
        <w:widowControl/>
        <w:spacing w:before="120"/>
        <w:rPr>
          <w:lang w:bidi="ar-SA"/>
        </w:rPr>
      </w:pPr>
      <w:r>
        <w:rPr>
          <w:szCs w:val="22"/>
          <w:lang w:eastAsia="en-AU" w:bidi="ar-SA"/>
        </w:rPr>
        <w:t xml:space="preserve">The above means that </w:t>
      </w:r>
      <w:r>
        <w:t>AOAC 2017.16, if permitted, may result</w:t>
      </w:r>
      <w:r>
        <w:rPr>
          <w:szCs w:val="22"/>
          <w:lang w:eastAsia="en-AU" w:bidi="ar-SA"/>
        </w:rPr>
        <w:t xml:space="preserve"> in a substance that is not dietary fibre </w:t>
      </w:r>
      <w:r w:rsidR="002C0E5D">
        <w:rPr>
          <w:szCs w:val="22"/>
          <w:lang w:eastAsia="en-AU" w:bidi="ar-SA"/>
        </w:rPr>
        <w:t>(based on the Code’s definition)</w:t>
      </w:r>
      <w:r>
        <w:rPr>
          <w:szCs w:val="22"/>
          <w:lang w:eastAsia="en-AU" w:bidi="ar-SA"/>
        </w:rPr>
        <w:t xml:space="preserve"> being counted as dietary fibre for the </w:t>
      </w:r>
      <w:r>
        <w:rPr>
          <w:szCs w:val="22"/>
          <w:lang w:eastAsia="en-AU" w:bidi="ar-SA"/>
        </w:rPr>
        <w:lastRenderedPageBreak/>
        <w:t xml:space="preserve">purposes of Code requirements relating to health claims and </w:t>
      </w:r>
      <w:r w:rsidRPr="004D60AC">
        <w:rPr>
          <w:rFonts w:cs="Arial"/>
          <w:szCs w:val="22"/>
        </w:rPr>
        <w:t xml:space="preserve">nutrition information </w:t>
      </w:r>
      <w:r>
        <w:rPr>
          <w:rFonts w:cs="Arial"/>
          <w:szCs w:val="22"/>
        </w:rPr>
        <w:t>labelling (see section 1.3 above).</w:t>
      </w:r>
      <w:r>
        <w:rPr>
          <w:lang w:bidi="ar-SA"/>
        </w:rPr>
        <w:t>That is, use of AOAC 2017.16 may result in an overestimate of total dietary fibre in GOS-containing foods.</w:t>
      </w:r>
    </w:p>
    <w:p w14:paraId="3E0D4293" w14:textId="49355B20" w:rsidR="000E2521" w:rsidRPr="000E2521" w:rsidRDefault="000E2521" w:rsidP="00AC0409">
      <w:pPr>
        <w:widowControl/>
        <w:spacing w:before="120"/>
        <w:rPr>
          <w:lang w:bidi="ar-SA"/>
        </w:rPr>
      </w:pPr>
      <w:r>
        <w:rPr>
          <w:lang w:bidi="ar-SA"/>
        </w:rPr>
        <w:t xml:space="preserve">Based on the best available data, most pulses, </w:t>
      </w:r>
      <w:r>
        <w:rPr>
          <w:rFonts w:cs="Arial"/>
          <w:szCs w:val="22"/>
        </w:rPr>
        <w:t>dairy and</w:t>
      </w:r>
      <w:r>
        <w:rPr>
          <w:lang w:bidi="ar-SA"/>
        </w:rPr>
        <w:t xml:space="preserve"> wheat products, some other cereals, nuts, seeds and few vegetables contain naturally occurring GOS. In plant foods, GOS contributes on average about 0.85 g/100 g edible portion total while in dairy foods, GOS contributes up to 0.6 g/100 g edible portion total measured by AOAC 2017.16.</w:t>
      </w:r>
      <w:r>
        <w:rPr>
          <w:rFonts w:cs="Arial"/>
          <w:szCs w:val="22"/>
        </w:rPr>
        <w:t xml:space="preserve"> From limited data, naturally-occurring </w:t>
      </w:r>
      <w:r>
        <w:rPr>
          <w:lang w:bidi="ar-SA"/>
        </w:rPr>
        <w:t xml:space="preserve">GOS appears to contribute </w:t>
      </w:r>
      <w:r w:rsidR="00024318">
        <w:rPr>
          <w:lang w:bidi="ar-SA"/>
        </w:rPr>
        <w:t>about 3-</w:t>
      </w:r>
      <w:r w:rsidRPr="00467B54">
        <w:rPr>
          <w:lang w:bidi="ar-SA"/>
        </w:rPr>
        <w:t xml:space="preserve">6% of </w:t>
      </w:r>
      <w:r>
        <w:rPr>
          <w:lang w:bidi="ar-SA"/>
        </w:rPr>
        <w:t>total</w:t>
      </w:r>
      <w:r w:rsidRPr="00467B54">
        <w:rPr>
          <w:lang w:bidi="ar-SA"/>
        </w:rPr>
        <w:t xml:space="preserve"> dietary fibre </w:t>
      </w:r>
      <w:r>
        <w:rPr>
          <w:lang w:bidi="ar-SA"/>
        </w:rPr>
        <w:t xml:space="preserve">in GOS-containing foods </w:t>
      </w:r>
      <w:r w:rsidRPr="00467B54">
        <w:rPr>
          <w:lang w:bidi="ar-SA"/>
        </w:rPr>
        <w:t>measured by AOAC</w:t>
      </w:r>
      <w:r>
        <w:rPr>
          <w:lang w:bidi="ar-SA"/>
        </w:rPr>
        <w:t xml:space="preserve"> 2017.16. </w:t>
      </w:r>
      <w:r>
        <w:rPr>
          <w:lang w:eastAsia="en-AU"/>
        </w:rPr>
        <w:t xml:space="preserve">Based on a survey undertaken by the applicant, </w:t>
      </w:r>
      <w:r>
        <w:rPr>
          <w:rFonts w:cs="Arial"/>
          <w:szCs w:val="22"/>
        </w:rPr>
        <w:t>GOS is not added to many general purpose foods in Australia or New Zealand (n=5).</w:t>
      </w:r>
    </w:p>
    <w:p w14:paraId="712E811D" w14:textId="4BA4DC95" w:rsidR="000900B0" w:rsidRDefault="00EC1EA0" w:rsidP="00AC0409">
      <w:pPr>
        <w:widowControl/>
        <w:spacing w:before="120"/>
        <w:rPr>
          <w:rFonts w:cs="Arial"/>
          <w:szCs w:val="22"/>
        </w:rPr>
      </w:pPr>
      <w:r>
        <w:rPr>
          <w:rFonts w:cs="Arial"/>
          <w:szCs w:val="22"/>
        </w:rPr>
        <w:t>Variability</w:t>
      </w:r>
      <w:r w:rsidR="000900B0">
        <w:rPr>
          <w:rFonts w:cs="Arial"/>
          <w:szCs w:val="22"/>
        </w:rPr>
        <w:t xml:space="preserve"> in </w:t>
      </w:r>
      <w:r w:rsidR="00F13EAC">
        <w:rPr>
          <w:rFonts w:cs="Arial"/>
          <w:szCs w:val="22"/>
        </w:rPr>
        <w:t xml:space="preserve">total dietary fibre </w:t>
      </w:r>
      <w:r>
        <w:rPr>
          <w:rFonts w:cs="Arial"/>
          <w:szCs w:val="22"/>
        </w:rPr>
        <w:t xml:space="preserve">values </w:t>
      </w:r>
      <w:r w:rsidR="00F13EAC">
        <w:rPr>
          <w:rFonts w:cs="Arial"/>
          <w:szCs w:val="22"/>
        </w:rPr>
        <w:t>currently exist when measured using</w:t>
      </w:r>
      <w:r w:rsidR="00AC0409">
        <w:rPr>
          <w:rFonts w:cs="Arial"/>
          <w:szCs w:val="22"/>
        </w:rPr>
        <w:t xml:space="preserve"> methods of analysis</w:t>
      </w:r>
      <w:r w:rsidR="000900B0">
        <w:rPr>
          <w:rFonts w:cs="Arial"/>
          <w:szCs w:val="22"/>
        </w:rPr>
        <w:t xml:space="preserve"> permitted </w:t>
      </w:r>
      <w:r w:rsidR="00F13EAC">
        <w:rPr>
          <w:rFonts w:cs="Arial"/>
          <w:szCs w:val="22"/>
        </w:rPr>
        <w:t xml:space="preserve">by </w:t>
      </w:r>
      <w:r w:rsidR="000900B0">
        <w:rPr>
          <w:rFonts w:cs="Arial"/>
          <w:szCs w:val="22"/>
        </w:rPr>
        <w:t>the Code</w:t>
      </w:r>
      <w:r w:rsidR="00676549">
        <w:rPr>
          <w:rFonts w:cs="Arial"/>
          <w:szCs w:val="22"/>
        </w:rPr>
        <w:t xml:space="preserve">. For example: </w:t>
      </w:r>
    </w:p>
    <w:p w14:paraId="10B9BE70" w14:textId="09EBEBBE" w:rsidR="000900B0" w:rsidRPr="001D3DEA" w:rsidRDefault="000900B0" w:rsidP="001D3DEA">
      <w:pPr>
        <w:pStyle w:val="ListParagraph"/>
        <w:widowControl/>
        <w:numPr>
          <w:ilvl w:val="0"/>
          <w:numId w:val="85"/>
        </w:numPr>
        <w:spacing w:before="120"/>
        <w:rPr>
          <w:rFonts w:cs="Arial"/>
          <w:szCs w:val="22"/>
          <w:lang w:bidi="ar-SA"/>
        </w:rPr>
      </w:pPr>
      <w:r w:rsidRPr="000900B0">
        <w:rPr>
          <w:rFonts w:cs="Arial"/>
          <w:szCs w:val="22"/>
        </w:rPr>
        <w:t>older method for total dietary fibre AOAC 985.29 does not accurately measure LMWDF or resistant starch components</w:t>
      </w:r>
      <w:r w:rsidR="001D3DEA">
        <w:rPr>
          <w:rFonts w:cs="Arial"/>
          <w:szCs w:val="22"/>
        </w:rPr>
        <w:t xml:space="preserve"> therefore</w:t>
      </w:r>
      <w:r w:rsidRPr="000900B0">
        <w:rPr>
          <w:rFonts w:cs="Arial"/>
          <w:szCs w:val="22"/>
        </w:rPr>
        <w:t xml:space="preserve"> </w:t>
      </w:r>
      <w:r w:rsidR="001D3DEA">
        <w:rPr>
          <w:rFonts w:cs="Arial"/>
          <w:szCs w:val="22"/>
        </w:rPr>
        <w:t>total dietary fibre may potentially</w:t>
      </w:r>
      <w:r w:rsidR="001D3DEA" w:rsidRPr="001D3DEA">
        <w:rPr>
          <w:rFonts w:cs="Arial"/>
          <w:szCs w:val="22"/>
        </w:rPr>
        <w:t xml:space="preserve"> </w:t>
      </w:r>
      <w:r w:rsidRPr="001D3DEA">
        <w:rPr>
          <w:rFonts w:cs="Arial"/>
          <w:szCs w:val="22"/>
        </w:rPr>
        <w:t>be underestimated</w:t>
      </w:r>
      <w:r w:rsidR="001D3DEA">
        <w:rPr>
          <w:rFonts w:cs="Arial"/>
          <w:szCs w:val="22"/>
        </w:rPr>
        <w:t xml:space="preserve"> for the purposes of food labels and in food composition databases. </w:t>
      </w:r>
    </w:p>
    <w:p w14:paraId="63CB2782" w14:textId="4FA1358C" w:rsidR="00676549" w:rsidRDefault="000900B0" w:rsidP="000900B0">
      <w:pPr>
        <w:pStyle w:val="ListParagraph"/>
        <w:widowControl/>
        <w:numPr>
          <w:ilvl w:val="0"/>
          <w:numId w:val="85"/>
        </w:numPr>
        <w:spacing w:before="120"/>
        <w:rPr>
          <w:rFonts w:cs="Arial"/>
          <w:szCs w:val="22"/>
          <w:lang w:bidi="ar-SA"/>
        </w:rPr>
      </w:pPr>
      <w:r w:rsidRPr="000900B0">
        <w:rPr>
          <w:rFonts w:cs="Arial"/>
          <w:szCs w:val="22"/>
        </w:rPr>
        <w:t>if a manufacturer use</w:t>
      </w:r>
      <w:r>
        <w:rPr>
          <w:rFonts w:cs="Arial"/>
          <w:szCs w:val="22"/>
        </w:rPr>
        <w:t>s</w:t>
      </w:r>
      <w:r w:rsidRPr="000900B0">
        <w:rPr>
          <w:rFonts w:cs="Arial"/>
          <w:szCs w:val="22"/>
        </w:rPr>
        <w:t xml:space="preserve"> a food database</w:t>
      </w:r>
      <w:r>
        <w:rPr>
          <w:rFonts w:cs="Arial"/>
          <w:szCs w:val="22"/>
        </w:rPr>
        <w:t xml:space="preserve"> to determine total dietary fibre of a food containing LMWDF this might only have data from AOAC 985.29</w:t>
      </w:r>
    </w:p>
    <w:p w14:paraId="76900CEE" w14:textId="49DFF907" w:rsidR="000900B0" w:rsidRPr="000900B0" w:rsidRDefault="000900B0" w:rsidP="000900B0">
      <w:pPr>
        <w:pStyle w:val="ListParagraph"/>
        <w:widowControl/>
        <w:numPr>
          <w:ilvl w:val="0"/>
          <w:numId w:val="85"/>
        </w:numPr>
        <w:spacing w:before="120"/>
        <w:rPr>
          <w:rFonts w:cs="Arial"/>
          <w:szCs w:val="22"/>
          <w:lang w:bidi="ar-SA"/>
        </w:rPr>
      </w:pPr>
      <w:r>
        <w:rPr>
          <w:rFonts w:cs="Arial"/>
          <w:szCs w:val="22"/>
        </w:rPr>
        <w:t>AOAC 2001.03 for total dietary fibre is used by industry and it measures GOS</w:t>
      </w:r>
      <w:r w:rsidR="00A92BEF">
        <w:rPr>
          <w:rFonts w:cs="Arial"/>
          <w:szCs w:val="22"/>
        </w:rPr>
        <w:t>.</w:t>
      </w:r>
    </w:p>
    <w:p w14:paraId="0AF702FF" w14:textId="1D1096D1" w:rsidR="00AC0409" w:rsidRDefault="00AC0409" w:rsidP="00692494">
      <w:pPr>
        <w:widowControl/>
        <w:spacing w:before="120" w:after="240"/>
        <w:rPr>
          <w:lang w:bidi="ar-SA"/>
        </w:rPr>
      </w:pPr>
    </w:p>
    <w:p w14:paraId="05DAC187" w14:textId="100CD8AD" w:rsidR="00987C5A" w:rsidRPr="0050503C" w:rsidRDefault="00CE56F5" w:rsidP="00484998">
      <w:pPr>
        <w:pStyle w:val="Heading1"/>
        <w:widowControl/>
      </w:pPr>
      <w:bookmarkStart w:id="76" w:name="_Toc175381442"/>
      <w:bookmarkStart w:id="77" w:name="_Toc286391010"/>
      <w:bookmarkStart w:id="78" w:name="_Toc300933426"/>
      <w:bookmarkStart w:id="79" w:name="_Toc67321509"/>
      <w:bookmarkStart w:id="80" w:name="_Toc69987917"/>
      <w:bookmarkStart w:id="81" w:name="_Toc70002639"/>
      <w:r w:rsidRPr="00D30EF1">
        <w:t>3</w:t>
      </w:r>
      <w:r w:rsidRPr="00D30EF1">
        <w:tab/>
      </w:r>
      <w:bookmarkEnd w:id="76"/>
      <w:bookmarkEnd w:id="77"/>
      <w:bookmarkEnd w:id="78"/>
      <w:r w:rsidRPr="00D30EF1">
        <w:t>Risk management</w:t>
      </w:r>
      <w:bookmarkStart w:id="82" w:name="_Toc300761910"/>
      <w:bookmarkEnd w:id="79"/>
      <w:bookmarkEnd w:id="80"/>
      <w:bookmarkEnd w:id="81"/>
      <w:r w:rsidR="00C046E5">
        <w:t xml:space="preserve"> </w:t>
      </w:r>
    </w:p>
    <w:p w14:paraId="61E6BF2E" w14:textId="0366785C" w:rsidR="00027F53" w:rsidRDefault="00027F53" w:rsidP="00027F53">
      <w:pPr>
        <w:pStyle w:val="Heading2"/>
        <w:rPr>
          <w:rFonts w:eastAsia="Calibri"/>
        </w:rPr>
      </w:pPr>
      <w:bookmarkStart w:id="83" w:name="_Toc67321510"/>
      <w:bookmarkStart w:id="84" w:name="_Toc69987918"/>
      <w:bookmarkStart w:id="85" w:name="_Toc70002640"/>
      <w:r>
        <w:rPr>
          <w:rFonts w:eastAsia="Calibri"/>
        </w:rPr>
        <w:t>3.1</w:t>
      </w:r>
      <w:r>
        <w:rPr>
          <w:rFonts w:eastAsia="Calibri"/>
        </w:rPr>
        <w:tab/>
      </w:r>
      <w:r w:rsidR="00E66803">
        <w:rPr>
          <w:rFonts w:eastAsia="Calibri"/>
        </w:rPr>
        <w:t>Current u</w:t>
      </w:r>
      <w:r>
        <w:rPr>
          <w:rFonts w:eastAsia="Calibri"/>
        </w:rPr>
        <w:t xml:space="preserve">se of dietary fibre methods of analysis </w:t>
      </w:r>
      <w:r w:rsidR="00E66803">
        <w:rPr>
          <w:rFonts w:eastAsia="Calibri"/>
        </w:rPr>
        <w:t xml:space="preserve">permitted </w:t>
      </w:r>
      <w:r>
        <w:rPr>
          <w:rFonts w:eastAsia="Calibri"/>
        </w:rPr>
        <w:t>in the Code</w:t>
      </w:r>
      <w:bookmarkEnd w:id="83"/>
      <w:bookmarkEnd w:id="84"/>
      <w:bookmarkEnd w:id="85"/>
    </w:p>
    <w:p w14:paraId="193D8AEB" w14:textId="42E5DD1B" w:rsidR="00692494" w:rsidRDefault="00C963D8" w:rsidP="00F21251">
      <w:pPr>
        <w:widowControl/>
        <w:shd w:val="clear" w:color="auto" w:fill="FFFFFF"/>
        <w:spacing w:after="150"/>
        <w:rPr>
          <w:rFonts w:cs="Arial"/>
          <w:bCs/>
          <w:szCs w:val="20"/>
          <w:lang w:eastAsia="en-AU" w:bidi="ar-SA"/>
        </w:rPr>
      </w:pPr>
      <w:r>
        <w:rPr>
          <w:rFonts w:cs="Arial"/>
          <w:szCs w:val="22"/>
        </w:rPr>
        <w:t>S</w:t>
      </w:r>
      <w:r w:rsidR="00027F53" w:rsidRPr="00CB73D9">
        <w:rPr>
          <w:rFonts w:cs="Arial"/>
          <w:szCs w:val="22"/>
        </w:rPr>
        <w:t xml:space="preserve">ubsection 1.2.8—7(7) </w:t>
      </w:r>
      <w:r w:rsidR="007B6F31">
        <w:rPr>
          <w:rFonts w:cs="Arial"/>
          <w:szCs w:val="22"/>
        </w:rPr>
        <w:t xml:space="preserve">of the Code </w:t>
      </w:r>
      <w:r w:rsidR="00027F53" w:rsidRPr="00CB73D9">
        <w:rPr>
          <w:rFonts w:cs="Arial"/>
          <w:szCs w:val="22"/>
        </w:rPr>
        <w:t xml:space="preserve">requires the declaration of dietary fibre </w:t>
      </w:r>
      <w:r>
        <w:rPr>
          <w:rFonts w:cs="Arial"/>
          <w:szCs w:val="22"/>
        </w:rPr>
        <w:t>on</w:t>
      </w:r>
      <w:r w:rsidRPr="00CB73D9">
        <w:rPr>
          <w:rFonts w:cs="Arial"/>
          <w:szCs w:val="22"/>
        </w:rPr>
        <w:t xml:space="preserve"> </w:t>
      </w:r>
      <w:r w:rsidR="00027F53" w:rsidRPr="00CB73D9">
        <w:rPr>
          <w:rFonts w:cs="Arial"/>
          <w:szCs w:val="22"/>
        </w:rPr>
        <w:t>a</w:t>
      </w:r>
      <w:r w:rsidR="00027F53">
        <w:rPr>
          <w:rFonts w:cs="Arial"/>
          <w:szCs w:val="22"/>
        </w:rPr>
        <w:t>n NIP</w:t>
      </w:r>
      <w:r w:rsidR="00027F53" w:rsidRPr="00CB73D9" w:rsidDel="003A1A5B">
        <w:rPr>
          <w:rFonts w:cs="Arial"/>
          <w:szCs w:val="22"/>
        </w:rPr>
        <w:t xml:space="preserve"> </w:t>
      </w:r>
      <w:r w:rsidR="00027F53" w:rsidRPr="00CB73D9">
        <w:rPr>
          <w:rFonts w:cs="Arial"/>
          <w:szCs w:val="22"/>
        </w:rPr>
        <w:t>to be</w:t>
      </w:r>
      <w:r w:rsidR="008068C6">
        <w:rPr>
          <w:rFonts w:cs="Arial"/>
          <w:szCs w:val="22"/>
        </w:rPr>
        <w:t xml:space="preserve"> a declaration of dietary fibre</w:t>
      </w:r>
      <w:r w:rsidR="00027F53" w:rsidRPr="00CB73D9">
        <w:rPr>
          <w:rFonts w:cs="Arial"/>
          <w:szCs w:val="22"/>
        </w:rPr>
        <w:t xml:space="preserve"> determined in accordance with section S11—4.</w:t>
      </w:r>
      <w:r w:rsidR="00027F53" w:rsidRPr="00A60E92">
        <w:rPr>
          <w:rFonts w:cs="Arial"/>
          <w:bCs/>
          <w:sz w:val="20"/>
          <w:szCs w:val="20"/>
          <w:lang w:eastAsia="en-AU" w:bidi="ar-SA"/>
        </w:rPr>
        <w:t xml:space="preserve"> </w:t>
      </w:r>
      <w:r w:rsidR="00692494">
        <w:rPr>
          <w:rFonts w:cs="Arial"/>
          <w:bCs/>
          <w:szCs w:val="20"/>
          <w:lang w:eastAsia="en-AU" w:bidi="ar-SA"/>
        </w:rPr>
        <w:t xml:space="preserve"> </w:t>
      </w:r>
    </w:p>
    <w:p w14:paraId="4968E70E" w14:textId="2EC509B6" w:rsidR="00420188" w:rsidRPr="00692494" w:rsidRDefault="00027F53" w:rsidP="00F21251">
      <w:pPr>
        <w:widowControl/>
        <w:shd w:val="clear" w:color="auto" w:fill="FFFFFF"/>
        <w:spacing w:after="150"/>
        <w:rPr>
          <w:rFonts w:cs="Arial"/>
          <w:bCs/>
          <w:szCs w:val="20"/>
          <w:lang w:eastAsia="en-AU" w:bidi="ar-SA"/>
        </w:rPr>
      </w:pPr>
      <w:r w:rsidRPr="000C3852">
        <w:rPr>
          <w:rFonts w:cs="Arial"/>
          <w:szCs w:val="22"/>
        </w:rPr>
        <w:t>Table 1</w:t>
      </w:r>
      <w:r w:rsidR="00C34F4F">
        <w:rPr>
          <w:rFonts w:cs="Arial"/>
          <w:szCs w:val="22"/>
        </w:rPr>
        <w:t xml:space="preserve"> in </w:t>
      </w:r>
      <w:r w:rsidR="00546088">
        <w:rPr>
          <w:rFonts w:cs="Arial"/>
          <w:szCs w:val="22"/>
        </w:rPr>
        <w:t>Supporting Document 1 (</w:t>
      </w:r>
      <w:r w:rsidRPr="000C3852">
        <w:rPr>
          <w:rFonts w:cs="Arial"/>
          <w:szCs w:val="22"/>
        </w:rPr>
        <w:t>SD1</w:t>
      </w:r>
      <w:r w:rsidR="00546088">
        <w:rPr>
          <w:rFonts w:cs="Arial"/>
          <w:szCs w:val="22"/>
        </w:rPr>
        <w:t xml:space="preserve">) </w:t>
      </w:r>
      <w:r w:rsidRPr="000C3852">
        <w:rPr>
          <w:rFonts w:cs="Arial"/>
          <w:szCs w:val="22"/>
        </w:rPr>
        <w:t xml:space="preserve">outlines </w:t>
      </w:r>
      <w:r w:rsidR="00692494">
        <w:t xml:space="preserve">dietary fibre components measured by AOAC methods of analysis in the Code in </w:t>
      </w:r>
      <w:r w:rsidR="00692494">
        <w:rPr>
          <w:rFonts w:cs="Arial"/>
          <w:szCs w:val="22"/>
        </w:rPr>
        <w:t>subsection S11—4(2)</w:t>
      </w:r>
      <w:r w:rsidRPr="000C3852">
        <w:rPr>
          <w:rFonts w:cs="Arial"/>
          <w:szCs w:val="22"/>
        </w:rPr>
        <w:t xml:space="preserve">. </w:t>
      </w:r>
      <w:r>
        <w:rPr>
          <w:rFonts w:cs="Arial"/>
          <w:szCs w:val="22"/>
        </w:rPr>
        <w:t xml:space="preserve">Of note, </w:t>
      </w:r>
      <w:r w:rsidRPr="000C3852">
        <w:rPr>
          <w:rFonts w:cs="Arial"/>
          <w:szCs w:val="22"/>
        </w:rPr>
        <w:t xml:space="preserve">AOAC methods </w:t>
      </w:r>
      <w:r w:rsidRPr="000C3852">
        <w:rPr>
          <w:rFonts w:cs="Arial"/>
          <w:bCs/>
          <w:szCs w:val="20"/>
          <w:lang w:eastAsia="en-AU" w:bidi="ar-SA"/>
        </w:rPr>
        <w:t xml:space="preserve">985.29 and 991.43 </w:t>
      </w:r>
      <w:r w:rsidRPr="000C3852">
        <w:rPr>
          <w:rFonts w:cs="Arial"/>
          <w:szCs w:val="22"/>
        </w:rPr>
        <w:t xml:space="preserve">measure </w:t>
      </w:r>
      <w:r w:rsidR="00563B47">
        <w:rPr>
          <w:rFonts w:cs="Arial"/>
          <w:szCs w:val="22"/>
        </w:rPr>
        <w:t xml:space="preserve">HMWDF, also known as </w:t>
      </w:r>
      <w:r>
        <w:rPr>
          <w:rFonts w:cs="Arial"/>
          <w:szCs w:val="22"/>
        </w:rPr>
        <w:t>non</w:t>
      </w:r>
      <w:r w:rsidR="00615431">
        <w:rPr>
          <w:rFonts w:cs="Arial"/>
          <w:szCs w:val="22"/>
        </w:rPr>
        <w:t>-</w:t>
      </w:r>
      <w:r>
        <w:rPr>
          <w:rFonts w:cs="Arial"/>
          <w:szCs w:val="22"/>
        </w:rPr>
        <w:t>starch polysaccharides</w:t>
      </w:r>
      <w:r w:rsidRPr="000C3852">
        <w:rPr>
          <w:rFonts w:cs="Arial"/>
          <w:szCs w:val="22"/>
        </w:rPr>
        <w:t xml:space="preserve">. </w:t>
      </w:r>
      <w:r w:rsidR="00D459C8">
        <w:rPr>
          <w:szCs w:val="22"/>
        </w:rPr>
        <w:t xml:space="preserve">However, </w:t>
      </w:r>
      <w:r>
        <w:rPr>
          <w:rFonts w:cs="Arial"/>
          <w:szCs w:val="22"/>
        </w:rPr>
        <w:t>t</w:t>
      </w:r>
      <w:r w:rsidRPr="000C3852">
        <w:rPr>
          <w:rFonts w:cs="Arial"/>
          <w:bCs/>
          <w:szCs w:val="20"/>
          <w:lang w:eastAsia="en-AU" w:bidi="ar-SA"/>
        </w:rPr>
        <w:t xml:space="preserve">hese methods do not measure </w:t>
      </w:r>
      <w:r>
        <w:rPr>
          <w:rFonts w:cs="Arial"/>
          <w:bCs/>
          <w:szCs w:val="20"/>
          <w:lang w:eastAsia="en-AU" w:bidi="ar-SA"/>
        </w:rPr>
        <w:t xml:space="preserve">the LMWDF </w:t>
      </w:r>
      <w:r w:rsidR="00747C5E">
        <w:rPr>
          <w:rFonts w:cs="Arial"/>
          <w:bCs/>
          <w:szCs w:val="20"/>
          <w:lang w:eastAsia="en-AU" w:bidi="ar-SA"/>
        </w:rPr>
        <w:t xml:space="preserve">such as </w:t>
      </w:r>
      <w:r>
        <w:rPr>
          <w:rFonts w:cs="Arial"/>
          <w:szCs w:val="22"/>
        </w:rPr>
        <w:t>FOS</w:t>
      </w:r>
      <w:r w:rsidRPr="000C3852">
        <w:rPr>
          <w:rFonts w:cs="Arial"/>
          <w:bCs/>
          <w:szCs w:val="20"/>
          <w:lang w:eastAsia="en-AU" w:bidi="ar-SA"/>
        </w:rPr>
        <w:t xml:space="preserve">, </w:t>
      </w:r>
      <w:r>
        <w:rPr>
          <w:rFonts w:cs="Arial"/>
          <w:szCs w:val="22"/>
        </w:rPr>
        <w:t>GOS</w:t>
      </w:r>
      <w:r w:rsidR="00420188">
        <w:rPr>
          <w:rFonts w:cs="Arial"/>
          <w:bCs/>
          <w:szCs w:val="20"/>
          <w:lang w:eastAsia="en-AU" w:bidi="ar-SA"/>
        </w:rPr>
        <w:t>,</w:t>
      </w:r>
      <w:r w:rsidRPr="000C3852">
        <w:rPr>
          <w:rFonts w:cs="Arial"/>
          <w:bCs/>
          <w:szCs w:val="20"/>
          <w:lang w:eastAsia="en-AU" w:bidi="ar-SA"/>
        </w:rPr>
        <w:t xml:space="preserve"> </w:t>
      </w:r>
      <w:r>
        <w:rPr>
          <w:rFonts w:cs="Arial"/>
          <w:bCs/>
          <w:szCs w:val="20"/>
          <w:lang w:eastAsia="en-AU" w:bidi="ar-SA"/>
        </w:rPr>
        <w:t>resistant maltodextrins</w:t>
      </w:r>
      <w:r w:rsidR="00420188">
        <w:rPr>
          <w:rFonts w:cs="Arial"/>
          <w:bCs/>
          <w:szCs w:val="20"/>
          <w:lang w:eastAsia="en-AU" w:bidi="ar-SA"/>
        </w:rPr>
        <w:t xml:space="preserve">, </w:t>
      </w:r>
      <w:r w:rsidRPr="000C3852">
        <w:rPr>
          <w:rFonts w:cs="Arial"/>
          <w:bCs/>
          <w:szCs w:val="20"/>
          <w:lang w:eastAsia="en-AU" w:bidi="ar-SA"/>
        </w:rPr>
        <w:t xml:space="preserve">or </w:t>
      </w:r>
      <w:r w:rsidR="00C21F6E">
        <w:rPr>
          <w:rFonts w:cs="Arial"/>
          <w:bCs/>
          <w:szCs w:val="20"/>
          <w:lang w:eastAsia="en-AU" w:bidi="ar-SA"/>
        </w:rPr>
        <w:t>p</w:t>
      </w:r>
      <w:r w:rsidR="00420188">
        <w:rPr>
          <w:rFonts w:cs="Arial"/>
          <w:bCs/>
          <w:szCs w:val="20"/>
          <w:lang w:eastAsia="en-AU" w:bidi="ar-SA"/>
        </w:rPr>
        <w:t>olydextrose;</w:t>
      </w:r>
      <w:r w:rsidRPr="000C3852">
        <w:rPr>
          <w:rFonts w:cs="Arial"/>
          <w:bCs/>
          <w:szCs w:val="20"/>
          <w:lang w:eastAsia="en-AU" w:bidi="ar-SA"/>
        </w:rPr>
        <w:t xml:space="preserve"> </w:t>
      </w:r>
      <w:r w:rsidR="00CF1B73">
        <w:rPr>
          <w:rFonts w:cs="Arial"/>
          <w:bCs/>
          <w:szCs w:val="20"/>
          <w:lang w:eastAsia="en-AU" w:bidi="ar-SA"/>
        </w:rPr>
        <w:t>they</w:t>
      </w:r>
      <w:r w:rsidR="00CF1B73" w:rsidRPr="000C3852">
        <w:rPr>
          <w:rFonts w:cs="Arial"/>
          <w:bCs/>
          <w:szCs w:val="20"/>
          <w:lang w:eastAsia="en-AU" w:bidi="ar-SA"/>
        </w:rPr>
        <w:t xml:space="preserve"> </w:t>
      </w:r>
      <w:r w:rsidR="00CF1B73">
        <w:rPr>
          <w:rFonts w:cs="Arial"/>
          <w:bCs/>
          <w:szCs w:val="20"/>
          <w:lang w:eastAsia="en-AU" w:bidi="ar-SA"/>
        </w:rPr>
        <w:t xml:space="preserve">partially </w:t>
      </w:r>
      <w:r w:rsidRPr="000C3852">
        <w:rPr>
          <w:rFonts w:cs="Arial"/>
          <w:bCs/>
          <w:szCs w:val="20"/>
          <w:lang w:eastAsia="en-AU" w:bidi="ar-SA"/>
        </w:rPr>
        <w:t xml:space="preserve">measure </w:t>
      </w:r>
      <w:r>
        <w:rPr>
          <w:rFonts w:cs="Arial"/>
          <w:bCs/>
          <w:szCs w:val="20"/>
          <w:lang w:eastAsia="en-AU" w:bidi="ar-SA"/>
        </w:rPr>
        <w:t xml:space="preserve">inulin </w:t>
      </w:r>
      <w:r w:rsidR="00CF1B73">
        <w:rPr>
          <w:rFonts w:cs="Arial"/>
          <w:bCs/>
          <w:szCs w:val="20"/>
          <w:lang w:eastAsia="en-AU" w:bidi="ar-SA"/>
        </w:rPr>
        <w:t>and</w:t>
      </w:r>
      <w:r>
        <w:rPr>
          <w:rFonts w:cs="Arial"/>
          <w:bCs/>
          <w:szCs w:val="20"/>
          <w:lang w:eastAsia="en-AU" w:bidi="ar-SA"/>
        </w:rPr>
        <w:t xml:space="preserve"> resistant starch</w:t>
      </w:r>
      <w:r w:rsidRPr="000C3852">
        <w:rPr>
          <w:rFonts w:cs="Arial"/>
          <w:bCs/>
          <w:szCs w:val="20"/>
          <w:lang w:eastAsia="en-AU" w:bidi="ar-SA"/>
        </w:rPr>
        <w:t>.</w:t>
      </w:r>
      <w:r w:rsidR="00E66803">
        <w:rPr>
          <w:rFonts w:cs="Arial"/>
          <w:bCs/>
          <w:szCs w:val="20"/>
          <w:lang w:eastAsia="en-AU" w:bidi="ar-SA"/>
        </w:rPr>
        <w:t xml:space="preserve"> </w:t>
      </w:r>
      <w:r w:rsidR="006B72F0">
        <w:rPr>
          <w:szCs w:val="22"/>
          <w:lang w:eastAsia="en-AU" w:bidi="ar-SA"/>
        </w:rPr>
        <w:t xml:space="preserve">Method </w:t>
      </w:r>
      <w:r w:rsidR="006B72F0">
        <w:rPr>
          <w:lang w:eastAsia="en-AU" w:bidi="ar-SA"/>
        </w:rPr>
        <w:t>AOAC 2001.03 (</w:t>
      </w:r>
      <w:r w:rsidR="00131BC3">
        <w:rPr>
          <w:lang w:eastAsia="en-AU" w:bidi="ar-SA"/>
        </w:rPr>
        <w:t>total</w:t>
      </w:r>
      <w:r w:rsidR="006B72F0">
        <w:rPr>
          <w:lang w:eastAsia="en-AU" w:bidi="ar-SA"/>
        </w:rPr>
        <w:t xml:space="preserve"> dietary fibre and resistant maltodextrins) </w:t>
      </w:r>
      <w:r w:rsidR="00CF1B73">
        <w:rPr>
          <w:lang w:eastAsia="en-AU" w:bidi="ar-SA"/>
        </w:rPr>
        <w:t xml:space="preserve">is currently used </w:t>
      </w:r>
      <w:r w:rsidR="00692494">
        <w:rPr>
          <w:lang w:eastAsia="en-AU" w:bidi="ar-SA"/>
        </w:rPr>
        <w:t>to analyse</w:t>
      </w:r>
      <w:r w:rsidR="00CF1B73">
        <w:rPr>
          <w:lang w:eastAsia="en-AU" w:bidi="ar-SA"/>
        </w:rPr>
        <w:t xml:space="preserve"> foods containing LMWDF</w:t>
      </w:r>
      <w:r w:rsidR="00CF1B73" w:rsidRPr="00BB1948">
        <w:rPr>
          <w:rFonts w:cs="Arial"/>
          <w:szCs w:val="22"/>
        </w:rPr>
        <w:t xml:space="preserve"> </w:t>
      </w:r>
      <w:r w:rsidR="00CF1B73">
        <w:rPr>
          <w:rFonts w:cs="Arial"/>
          <w:szCs w:val="22"/>
        </w:rPr>
        <w:t>(</w:t>
      </w:r>
      <w:r w:rsidR="00CF1B73" w:rsidRPr="00020702">
        <w:rPr>
          <w:rFonts w:cs="Arial"/>
          <w:szCs w:val="22"/>
        </w:rPr>
        <w:t>H. Salman, pers.com</w:t>
      </w:r>
      <w:r w:rsidR="00CF1B73">
        <w:rPr>
          <w:rFonts w:cs="Arial"/>
          <w:szCs w:val="22"/>
        </w:rPr>
        <w:t>)</w:t>
      </w:r>
      <w:r w:rsidR="00CF1B73" w:rsidRPr="006B72F0">
        <w:rPr>
          <w:rStyle w:val="FootnoteReference"/>
        </w:rPr>
        <w:footnoteReference w:id="6"/>
      </w:r>
      <w:r w:rsidR="00E33BC5">
        <w:rPr>
          <w:rFonts w:cs="Arial"/>
          <w:szCs w:val="22"/>
        </w:rPr>
        <w:t>.</w:t>
      </w:r>
    </w:p>
    <w:p w14:paraId="62BF6ABB" w14:textId="32C82714" w:rsidR="00420188" w:rsidRDefault="002E3B30" w:rsidP="00F21251">
      <w:pPr>
        <w:widowControl/>
        <w:shd w:val="clear" w:color="auto" w:fill="FFFFFF"/>
        <w:spacing w:after="150"/>
        <w:rPr>
          <w:rFonts w:cs="Arial"/>
          <w:szCs w:val="22"/>
        </w:rPr>
      </w:pPr>
      <w:r>
        <w:rPr>
          <w:rFonts w:cs="Arial"/>
          <w:szCs w:val="22"/>
        </w:rPr>
        <w:t xml:space="preserve">To fully capture the dietary fibre </w:t>
      </w:r>
      <w:r w:rsidR="00347AC8">
        <w:rPr>
          <w:rFonts w:cs="Arial"/>
          <w:szCs w:val="22"/>
        </w:rPr>
        <w:t>content</w:t>
      </w:r>
      <w:r>
        <w:rPr>
          <w:rFonts w:cs="Arial"/>
          <w:szCs w:val="22"/>
        </w:rPr>
        <w:t xml:space="preserve"> of a food, </w:t>
      </w:r>
      <w:r w:rsidR="00042644">
        <w:rPr>
          <w:rFonts w:cs="Arial"/>
          <w:szCs w:val="22"/>
        </w:rPr>
        <w:t xml:space="preserve">manufacturers and/or analysts must select </w:t>
      </w:r>
      <w:r>
        <w:rPr>
          <w:rFonts w:cs="Arial"/>
          <w:szCs w:val="22"/>
        </w:rPr>
        <w:t xml:space="preserve">the method(s) of analysis that most align with the dietary fibre composition of </w:t>
      </w:r>
      <w:r w:rsidR="00042644">
        <w:rPr>
          <w:rFonts w:cs="Arial"/>
          <w:szCs w:val="22"/>
        </w:rPr>
        <w:t>the</w:t>
      </w:r>
      <w:r>
        <w:rPr>
          <w:rFonts w:cs="Arial"/>
          <w:szCs w:val="22"/>
        </w:rPr>
        <w:t xml:space="preserve"> food</w:t>
      </w:r>
      <w:r w:rsidR="00042644">
        <w:rPr>
          <w:rFonts w:cs="Arial"/>
          <w:szCs w:val="22"/>
        </w:rPr>
        <w:t xml:space="preserve"> of interest</w:t>
      </w:r>
      <w:r>
        <w:rPr>
          <w:rFonts w:cs="Arial"/>
          <w:szCs w:val="22"/>
        </w:rPr>
        <w:t>. This requires knowledge of the types of natural</w:t>
      </w:r>
      <w:r w:rsidR="00420188">
        <w:rPr>
          <w:rFonts w:cs="Arial"/>
          <w:szCs w:val="22"/>
        </w:rPr>
        <w:t>ly occurring</w:t>
      </w:r>
      <w:r>
        <w:rPr>
          <w:rFonts w:cs="Arial"/>
          <w:szCs w:val="22"/>
        </w:rPr>
        <w:t xml:space="preserve"> and added dietary fibre sources </w:t>
      </w:r>
      <w:r w:rsidR="00420188">
        <w:rPr>
          <w:rFonts w:cs="Arial"/>
          <w:szCs w:val="22"/>
        </w:rPr>
        <w:t>or</w:t>
      </w:r>
      <w:r w:rsidR="00C21F6E">
        <w:rPr>
          <w:rFonts w:cs="Arial"/>
          <w:szCs w:val="22"/>
        </w:rPr>
        <w:t xml:space="preserve"> ingredients.</w:t>
      </w:r>
    </w:p>
    <w:p w14:paraId="6E2C9364" w14:textId="5C6B457B" w:rsidR="00027F53" w:rsidRPr="00F21251" w:rsidRDefault="00F21251" w:rsidP="00F21251">
      <w:pPr>
        <w:widowControl/>
        <w:shd w:val="clear" w:color="auto" w:fill="FFFFFF"/>
        <w:spacing w:after="150"/>
        <w:rPr>
          <w:rFonts w:cs="Arial"/>
          <w:bCs/>
          <w:szCs w:val="20"/>
          <w:lang w:eastAsia="en-AU" w:bidi="ar-SA"/>
        </w:rPr>
      </w:pPr>
      <w:r>
        <w:t>An Australian food laboratory</w:t>
      </w:r>
      <w:r w:rsidRPr="009C37A7">
        <w:t xml:space="preserve"> </w:t>
      </w:r>
      <w:r>
        <w:t>provided data to FSANZ</w:t>
      </w:r>
      <w:r w:rsidRPr="009C37A7">
        <w:t xml:space="preserve"> </w:t>
      </w:r>
      <w:r>
        <w:t xml:space="preserve">indicating </w:t>
      </w:r>
      <w:r w:rsidRPr="009C37A7">
        <w:t xml:space="preserve">methods AOAC 985.29 </w:t>
      </w:r>
      <w:r>
        <w:t>and</w:t>
      </w:r>
      <w:r w:rsidRPr="009C37A7">
        <w:t xml:space="preserve"> 991.43</w:t>
      </w:r>
      <w:r>
        <w:t xml:space="preserve"> are </w:t>
      </w:r>
      <w:r w:rsidR="00420188">
        <w:t xml:space="preserve">currently </w:t>
      </w:r>
      <w:r>
        <w:t>most frequently used</w:t>
      </w:r>
      <w:r w:rsidRPr="009C37A7">
        <w:t xml:space="preserve"> to measure the </w:t>
      </w:r>
      <w:r w:rsidR="00131BC3">
        <w:t>total</w:t>
      </w:r>
      <w:r w:rsidRPr="009C37A7">
        <w:rPr>
          <w:rFonts w:cs="Arial"/>
          <w:bCs/>
          <w:szCs w:val="20"/>
          <w:lang w:eastAsia="en-AU" w:bidi="ar-SA"/>
        </w:rPr>
        <w:t xml:space="preserve"> dietary fibre in </w:t>
      </w:r>
      <w:r>
        <w:rPr>
          <w:rFonts w:cs="Arial"/>
          <w:bCs/>
          <w:szCs w:val="20"/>
          <w:lang w:eastAsia="en-AU" w:bidi="ar-SA"/>
        </w:rPr>
        <w:t>foods, often in combination with one or more methods of analysis for specific</w:t>
      </w:r>
      <w:r w:rsidR="00420188">
        <w:rPr>
          <w:rFonts w:cs="Arial"/>
          <w:bCs/>
          <w:szCs w:val="20"/>
          <w:lang w:eastAsia="en-AU" w:bidi="ar-SA"/>
        </w:rPr>
        <w:t>ally named</w:t>
      </w:r>
      <w:r>
        <w:rPr>
          <w:rFonts w:cs="Arial"/>
          <w:bCs/>
          <w:szCs w:val="20"/>
          <w:lang w:eastAsia="en-AU" w:bidi="ar-SA"/>
        </w:rPr>
        <w:t xml:space="preserve"> dietary fibres</w:t>
      </w:r>
      <w:r w:rsidRPr="009C37A7">
        <w:rPr>
          <w:rStyle w:val="FootnoteReference"/>
        </w:rPr>
        <w:footnoteReference w:id="7"/>
      </w:r>
      <w:r w:rsidRPr="009C37A7">
        <w:t>.</w:t>
      </w:r>
      <w:r>
        <w:rPr>
          <w:rFonts w:cs="Arial"/>
          <w:bCs/>
          <w:szCs w:val="20"/>
          <w:lang w:eastAsia="en-AU" w:bidi="ar-SA"/>
        </w:rPr>
        <w:t xml:space="preserve"> </w:t>
      </w:r>
      <w:r w:rsidR="006B72F0">
        <w:rPr>
          <w:rFonts w:cs="Arial"/>
          <w:bCs/>
          <w:szCs w:val="20"/>
          <w:lang w:eastAsia="en-AU" w:bidi="ar-SA"/>
        </w:rPr>
        <w:t>A</w:t>
      </w:r>
      <w:r w:rsidR="007D25E5">
        <w:rPr>
          <w:rFonts w:cs="Arial"/>
          <w:bCs/>
          <w:szCs w:val="20"/>
          <w:lang w:eastAsia="en-AU" w:bidi="ar-SA"/>
        </w:rPr>
        <w:t>lternatively</w:t>
      </w:r>
      <w:r w:rsidR="00420188">
        <w:rPr>
          <w:rFonts w:cs="Arial"/>
          <w:bCs/>
          <w:szCs w:val="20"/>
          <w:lang w:eastAsia="en-AU" w:bidi="ar-SA"/>
        </w:rPr>
        <w:t>,</w:t>
      </w:r>
      <w:r w:rsidR="007D25E5">
        <w:rPr>
          <w:rFonts w:cs="Arial"/>
          <w:bCs/>
          <w:szCs w:val="20"/>
          <w:lang w:eastAsia="en-AU" w:bidi="ar-SA"/>
        </w:rPr>
        <w:t xml:space="preserve"> </w:t>
      </w:r>
      <w:r>
        <w:rPr>
          <w:rFonts w:cs="Arial"/>
          <w:bCs/>
          <w:szCs w:val="20"/>
          <w:lang w:eastAsia="en-AU" w:bidi="ar-SA"/>
        </w:rPr>
        <w:t>a manufacturer</w:t>
      </w:r>
      <w:r w:rsidR="007D25E5">
        <w:rPr>
          <w:rFonts w:cs="Arial"/>
          <w:bCs/>
          <w:szCs w:val="20"/>
          <w:lang w:eastAsia="en-AU" w:bidi="ar-SA"/>
        </w:rPr>
        <w:t xml:space="preserve"> could use pre-existing </w:t>
      </w:r>
      <w:r w:rsidR="006B72F0">
        <w:rPr>
          <w:rFonts w:cs="Arial"/>
          <w:bCs/>
          <w:szCs w:val="20"/>
          <w:lang w:eastAsia="en-AU" w:bidi="ar-SA"/>
        </w:rPr>
        <w:t xml:space="preserve">values </w:t>
      </w:r>
      <w:r w:rsidR="00027F53" w:rsidRPr="00D87F20">
        <w:rPr>
          <w:rFonts w:cs="Arial"/>
          <w:bCs/>
          <w:szCs w:val="20"/>
          <w:lang w:eastAsia="en-AU" w:bidi="ar-SA"/>
        </w:rPr>
        <w:t xml:space="preserve">to </w:t>
      </w:r>
      <w:r w:rsidR="00027F53">
        <w:rPr>
          <w:rFonts w:cs="Arial"/>
          <w:bCs/>
          <w:szCs w:val="20"/>
          <w:lang w:eastAsia="en-AU" w:bidi="ar-SA"/>
        </w:rPr>
        <w:lastRenderedPageBreak/>
        <w:t>calculate the dietary fibre content</w:t>
      </w:r>
      <w:r w:rsidR="00027F53" w:rsidRPr="00D87F20">
        <w:rPr>
          <w:rFonts w:cs="Arial"/>
          <w:bCs/>
          <w:szCs w:val="20"/>
          <w:lang w:eastAsia="en-AU" w:bidi="ar-SA"/>
        </w:rPr>
        <w:t xml:space="preserve"> of </w:t>
      </w:r>
      <w:r w:rsidR="006B72F0">
        <w:rPr>
          <w:rFonts w:cs="Arial"/>
          <w:bCs/>
          <w:szCs w:val="20"/>
          <w:lang w:eastAsia="en-AU" w:bidi="ar-SA"/>
        </w:rPr>
        <w:t xml:space="preserve">a </w:t>
      </w:r>
      <w:r w:rsidR="00027F53">
        <w:rPr>
          <w:rFonts w:cs="Arial"/>
          <w:bCs/>
          <w:szCs w:val="20"/>
          <w:lang w:eastAsia="en-AU" w:bidi="ar-SA"/>
        </w:rPr>
        <w:t>food.</w:t>
      </w:r>
      <w:r w:rsidR="00027F53" w:rsidRPr="00D87F20">
        <w:rPr>
          <w:rFonts w:cs="Arial"/>
          <w:bCs/>
          <w:szCs w:val="20"/>
          <w:lang w:eastAsia="en-AU" w:bidi="ar-SA"/>
        </w:rPr>
        <w:t xml:space="preserve"> </w:t>
      </w:r>
      <w:r w:rsidR="00871076">
        <w:rPr>
          <w:rFonts w:cs="Arial"/>
          <w:bCs/>
          <w:szCs w:val="20"/>
          <w:lang w:eastAsia="en-AU" w:bidi="ar-SA"/>
        </w:rPr>
        <w:t>For example, t</w:t>
      </w:r>
      <w:r w:rsidR="00027F53">
        <w:rPr>
          <w:rFonts w:cs="Arial"/>
          <w:bCs/>
          <w:szCs w:val="20"/>
          <w:lang w:eastAsia="en-AU" w:bidi="ar-SA"/>
        </w:rPr>
        <w:t xml:space="preserve">he </w:t>
      </w:r>
      <w:hyperlink r:id="rId23" w:history="1">
        <w:r w:rsidR="00871076" w:rsidRPr="00871076">
          <w:rPr>
            <w:rStyle w:val="Hyperlink"/>
            <w:rFonts w:cs="Arial"/>
            <w:bCs/>
            <w:szCs w:val="20"/>
            <w:lang w:eastAsia="en-AU" w:bidi="ar-SA"/>
          </w:rPr>
          <w:t xml:space="preserve">Australian Food Composition </w:t>
        </w:r>
        <w:r w:rsidR="00027F53" w:rsidRPr="00871076">
          <w:rPr>
            <w:rStyle w:val="Hyperlink"/>
            <w:rFonts w:cs="Arial"/>
            <w:bCs/>
            <w:szCs w:val="20"/>
            <w:lang w:eastAsia="en-AU" w:bidi="ar-SA"/>
          </w:rPr>
          <w:t>database</w:t>
        </w:r>
      </w:hyperlink>
      <w:r w:rsidR="00027F53">
        <w:rPr>
          <w:rFonts w:cs="Arial"/>
          <w:bCs/>
          <w:szCs w:val="20"/>
          <w:lang w:eastAsia="en-AU" w:bidi="ar-SA"/>
        </w:rPr>
        <w:t xml:space="preserve"> is a widely consulted source of dietary fibre values </w:t>
      </w:r>
      <w:r w:rsidR="005F2F97">
        <w:rPr>
          <w:rFonts w:cs="Arial"/>
          <w:bCs/>
          <w:szCs w:val="20"/>
          <w:lang w:eastAsia="en-AU" w:bidi="ar-SA"/>
        </w:rPr>
        <w:t xml:space="preserve">in Australia, </w:t>
      </w:r>
      <w:r w:rsidR="00027F53">
        <w:rPr>
          <w:rFonts w:cs="Arial"/>
          <w:bCs/>
          <w:szCs w:val="20"/>
          <w:lang w:eastAsia="en-AU" w:bidi="ar-SA"/>
        </w:rPr>
        <w:t xml:space="preserve">which are mostly </w:t>
      </w:r>
      <w:r w:rsidR="008707F0">
        <w:rPr>
          <w:rFonts w:cs="Arial"/>
          <w:bCs/>
          <w:szCs w:val="20"/>
          <w:lang w:eastAsia="en-AU" w:bidi="ar-SA"/>
        </w:rPr>
        <w:t xml:space="preserve">obtained using </w:t>
      </w:r>
      <w:r w:rsidR="00027F53">
        <w:rPr>
          <w:rFonts w:cs="Arial"/>
          <w:bCs/>
          <w:szCs w:val="20"/>
          <w:lang w:eastAsia="en-AU" w:bidi="ar-SA"/>
        </w:rPr>
        <w:t>the earliest approved method in the Code</w:t>
      </w:r>
      <w:r w:rsidR="009C37A7">
        <w:rPr>
          <w:rFonts w:cs="Arial"/>
          <w:bCs/>
          <w:szCs w:val="20"/>
          <w:lang w:eastAsia="en-AU" w:bidi="ar-SA"/>
        </w:rPr>
        <w:t>,</w:t>
      </w:r>
      <w:r w:rsidR="00C21F6E">
        <w:rPr>
          <w:rFonts w:cs="Arial"/>
          <w:bCs/>
          <w:szCs w:val="20"/>
          <w:lang w:eastAsia="en-AU" w:bidi="ar-SA"/>
        </w:rPr>
        <w:t xml:space="preserve"> AOAC 985.29.</w:t>
      </w:r>
    </w:p>
    <w:p w14:paraId="4C9CA931" w14:textId="456A8EDE" w:rsidR="00C21F6E" w:rsidRDefault="00027F53" w:rsidP="00C21F6E">
      <w:pPr>
        <w:rPr>
          <w:rFonts w:cs="Arial"/>
        </w:rPr>
      </w:pPr>
      <w:r>
        <w:rPr>
          <w:rFonts w:eastAsia="Calibri"/>
        </w:rPr>
        <w:t xml:space="preserve">When determining </w:t>
      </w:r>
      <w:r w:rsidR="00131BC3">
        <w:rPr>
          <w:rFonts w:eastAsia="Calibri"/>
        </w:rPr>
        <w:t>total</w:t>
      </w:r>
      <w:r>
        <w:rPr>
          <w:rFonts w:eastAsia="Calibri"/>
        </w:rPr>
        <w:t xml:space="preserve"> dietary fibre by adding together the results obtained from two or more methods, there is potential for ‘double counting’ fractions that are analysed by those methods. This issue is addressed to some degree under subsection </w:t>
      </w:r>
      <w:r w:rsidRPr="0065069D">
        <w:rPr>
          <w:rFonts w:eastAsia="Calibri"/>
        </w:rPr>
        <w:t>S11—4(3)</w:t>
      </w:r>
      <w:r>
        <w:rPr>
          <w:rFonts w:eastAsia="Calibri"/>
        </w:rPr>
        <w:t>. It provides that, where</w:t>
      </w:r>
      <w:r w:rsidRPr="0065069D">
        <w:rPr>
          <w:rFonts w:eastAsia="Calibri"/>
        </w:rPr>
        <w:t xml:space="preserve"> the dietary fibre content of a food has been determined by more than one method of analysis, </w:t>
      </w:r>
      <w:r w:rsidR="008707F0">
        <w:rPr>
          <w:rFonts w:eastAsia="Calibri"/>
        </w:rPr>
        <w:t xml:space="preserve">the total dietary fibre content </w:t>
      </w:r>
      <w:r w:rsidR="007904DD">
        <w:rPr>
          <w:rFonts w:eastAsia="Calibri"/>
        </w:rPr>
        <w:t>can be</w:t>
      </w:r>
      <w:r w:rsidR="007904DD" w:rsidRPr="0065069D">
        <w:rPr>
          <w:rFonts w:eastAsia="Calibri"/>
        </w:rPr>
        <w:t xml:space="preserve"> </w:t>
      </w:r>
      <w:r w:rsidRPr="0065069D">
        <w:rPr>
          <w:rFonts w:eastAsia="Calibri"/>
        </w:rPr>
        <w:t>calculated by</w:t>
      </w:r>
      <w:r>
        <w:rPr>
          <w:rFonts w:eastAsia="Calibri"/>
        </w:rPr>
        <w:t xml:space="preserve"> </w:t>
      </w:r>
      <w:r w:rsidRPr="0065069D">
        <w:rPr>
          <w:rFonts w:eastAsia="Calibri"/>
        </w:rPr>
        <w:t>adding together the results from each method of analysis; and</w:t>
      </w:r>
      <w:r>
        <w:rPr>
          <w:rFonts w:eastAsia="Calibri"/>
        </w:rPr>
        <w:t xml:space="preserve"> </w:t>
      </w:r>
      <w:r w:rsidRPr="0065069D">
        <w:rPr>
          <w:rFonts w:eastAsia="Calibri"/>
        </w:rPr>
        <w:t>subtracting any portion of dietary fibre which has been included in the results of more than one method of analysis.</w:t>
      </w:r>
      <w:r>
        <w:rPr>
          <w:rFonts w:eastAsia="Calibri"/>
        </w:rPr>
        <w:t xml:space="preserve"> To do this requires the double counted component in the </w:t>
      </w:r>
      <w:r w:rsidR="00131BC3">
        <w:rPr>
          <w:rFonts w:eastAsia="Calibri"/>
        </w:rPr>
        <w:t>total</w:t>
      </w:r>
      <w:r>
        <w:rPr>
          <w:rFonts w:eastAsia="Calibri"/>
        </w:rPr>
        <w:t xml:space="preserve"> dietary fibre result to be measured separately to quantify the amount to be subtracted.</w:t>
      </w:r>
      <w:r w:rsidR="00C21F6E">
        <w:rPr>
          <w:rFonts w:cs="Arial"/>
        </w:rPr>
        <w:t xml:space="preserve"> </w:t>
      </w:r>
    </w:p>
    <w:p w14:paraId="10335CB4" w14:textId="77777777" w:rsidR="00C21F6E" w:rsidRDefault="00C21F6E" w:rsidP="00C21F6E">
      <w:pPr>
        <w:rPr>
          <w:rFonts w:cs="Arial"/>
        </w:rPr>
      </w:pPr>
    </w:p>
    <w:p w14:paraId="3B98C5BB" w14:textId="7461B342" w:rsidR="00027F53" w:rsidRPr="00C21F6E" w:rsidRDefault="00042644" w:rsidP="00C21F6E">
      <w:pPr>
        <w:rPr>
          <w:rFonts w:cs="Arial"/>
        </w:rPr>
      </w:pPr>
      <w:r>
        <w:rPr>
          <w:rFonts w:cs="Arial"/>
        </w:rPr>
        <w:t>Use of a</w:t>
      </w:r>
      <w:r w:rsidR="00027F53">
        <w:rPr>
          <w:rFonts w:cs="Arial"/>
        </w:rPr>
        <w:t xml:space="preserve"> method of analysis may also depend on a manufacturer’s desire (or otherwise) to make a dietary fibre nutrition content or health claim, or for other reasons required by the Code. With </w:t>
      </w:r>
      <w:r>
        <w:rPr>
          <w:rFonts w:cs="Arial"/>
        </w:rPr>
        <w:t>multiple</w:t>
      </w:r>
      <w:r w:rsidR="00027F53">
        <w:rPr>
          <w:rFonts w:cs="Arial"/>
        </w:rPr>
        <w:t xml:space="preserve"> methods available, different amounts of dietary fibre may be declared on labels of foods </w:t>
      </w:r>
      <w:r>
        <w:rPr>
          <w:rFonts w:cs="Arial"/>
        </w:rPr>
        <w:t>with</w:t>
      </w:r>
      <w:r w:rsidR="00027F53">
        <w:rPr>
          <w:rFonts w:cs="Arial"/>
        </w:rPr>
        <w:t xml:space="preserve"> similar composition depending on </w:t>
      </w:r>
      <w:r w:rsidR="008707F0">
        <w:rPr>
          <w:rFonts w:cs="Arial"/>
        </w:rPr>
        <w:t>the</w:t>
      </w:r>
      <w:r w:rsidR="00027F53">
        <w:rPr>
          <w:rFonts w:cs="Arial"/>
        </w:rPr>
        <w:t xml:space="preserve"> method or data source</w:t>
      </w:r>
      <w:r w:rsidRPr="00042644">
        <w:rPr>
          <w:rFonts w:cs="Arial"/>
        </w:rPr>
        <w:t xml:space="preserve"> </w:t>
      </w:r>
      <w:r>
        <w:rPr>
          <w:rFonts w:cs="Arial"/>
        </w:rPr>
        <w:t>used</w:t>
      </w:r>
      <w:r w:rsidR="00027F53">
        <w:rPr>
          <w:rFonts w:cs="Arial"/>
        </w:rPr>
        <w:t xml:space="preserve">. This may lead to a variety of dietary fibre values on similar products in the market place. For food with LMWDF, the use of a single simpler method such as </w:t>
      </w:r>
      <w:r w:rsidR="00027F53">
        <w:rPr>
          <w:rFonts w:cs="Arial"/>
          <w:bCs/>
          <w:szCs w:val="20"/>
          <w:lang w:eastAsia="en-AU" w:bidi="ar-SA"/>
        </w:rPr>
        <w:t xml:space="preserve">AOAC 985.29 or data from the </w:t>
      </w:r>
      <w:hyperlink r:id="rId24" w:history="1">
        <w:r w:rsidR="00C963D8" w:rsidRPr="00DB22C9">
          <w:rPr>
            <w:rStyle w:val="Hyperlink"/>
            <w:rFonts w:cs="Arial"/>
            <w:szCs w:val="22"/>
          </w:rPr>
          <w:t>Australian Food Composition database</w:t>
        </w:r>
      </w:hyperlink>
      <w:r w:rsidR="00C963D8">
        <w:rPr>
          <w:rStyle w:val="Hyperlink"/>
          <w:rFonts w:cs="Arial"/>
          <w:szCs w:val="22"/>
        </w:rPr>
        <w:t xml:space="preserve"> </w:t>
      </w:r>
      <w:r w:rsidR="00027F53">
        <w:rPr>
          <w:rFonts w:cs="Arial"/>
        </w:rPr>
        <w:t xml:space="preserve">will not capture all possible dietary fibre components and so underestimate the </w:t>
      </w:r>
      <w:r w:rsidR="00131BC3">
        <w:rPr>
          <w:rFonts w:cs="Arial"/>
        </w:rPr>
        <w:t>total</w:t>
      </w:r>
      <w:r w:rsidR="00027F53">
        <w:rPr>
          <w:rFonts w:cs="Arial"/>
        </w:rPr>
        <w:t xml:space="preserve"> dietary fibre content as recognised by the definition of dietary fibre in the Code.</w:t>
      </w:r>
    </w:p>
    <w:p w14:paraId="6EE66C6D" w14:textId="288E458A" w:rsidR="00027F53" w:rsidRDefault="00027F53" w:rsidP="00F21251">
      <w:pPr>
        <w:pStyle w:val="Heading4"/>
      </w:pPr>
      <w:r>
        <w:t xml:space="preserve">Identification of dietary fibre in the Australian Food </w:t>
      </w:r>
      <w:r w:rsidR="00A9695A">
        <w:t xml:space="preserve">Composition </w:t>
      </w:r>
      <w:r>
        <w:t>database</w:t>
      </w:r>
    </w:p>
    <w:p w14:paraId="3A465387" w14:textId="77777777" w:rsidR="00452210" w:rsidRDefault="00027F53" w:rsidP="00BC39CD">
      <w:r w:rsidRPr="002C0E5D">
        <w:rPr>
          <w:rStyle w:val="Hyperlink"/>
          <w:rFonts w:cs="Arial"/>
          <w:color w:val="auto"/>
          <w:szCs w:val="22"/>
          <w:u w:val="none"/>
        </w:rPr>
        <w:t xml:space="preserve">The FSANZ food composition program currently determines </w:t>
      </w:r>
      <w:r w:rsidR="00131BC3" w:rsidRPr="002C0E5D">
        <w:rPr>
          <w:rStyle w:val="Hyperlink"/>
          <w:rFonts w:cs="Arial"/>
          <w:color w:val="auto"/>
          <w:szCs w:val="22"/>
          <w:u w:val="none"/>
        </w:rPr>
        <w:t>total</w:t>
      </w:r>
      <w:r w:rsidRPr="002C0E5D">
        <w:rPr>
          <w:rStyle w:val="Hyperlink"/>
          <w:rFonts w:cs="Arial"/>
          <w:color w:val="auto"/>
          <w:szCs w:val="22"/>
          <w:u w:val="none"/>
        </w:rPr>
        <w:t xml:space="preserve"> dietary fibre using AOAC 985.29, or older equivalent methods, noting that these methods underestimate LMWDF.</w:t>
      </w:r>
      <w:r w:rsidRPr="002C0E5D">
        <w:t xml:space="preserve"> FSANZ would not actively replace </w:t>
      </w:r>
      <w:r w:rsidR="00131BC3" w:rsidRPr="002C0E5D">
        <w:t>total</w:t>
      </w:r>
      <w:r w:rsidRPr="002C0E5D">
        <w:t xml:space="preserve"> dietary fibre values in our </w:t>
      </w:r>
      <w:r w:rsidR="00C963D8" w:rsidRPr="002C0E5D">
        <w:t>Australian Food Composition database</w:t>
      </w:r>
      <w:r w:rsidRPr="002C0E5D">
        <w:rPr>
          <w:rStyle w:val="Hyperlink"/>
          <w:rFonts w:cs="Arial"/>
          <w:color w:val="auto"/>
          <w:szCs w:val="22"/>
          <w:u w:val="none"/>
        </w:rPr>
        <w:t xml:space="preserve"> with AOAC 2017.16 values, as this would be impractical and costly.</w:t>
      </w:r>
      <w:r w:rsidRPr="002C0E5D">
        <w:t xml:space="preserve"> FSANZ would accept data for foods analysed with AOAC 2017.16 if available. Data received would be provided with unique component codes depending on methods of analysis used.</w:t>
      </w:r>
      <w:r>
        <w:t xml:space="preserve"> </w:t>
      </w:r>
    </w:p>
    <w:p w14:paraId="4E277AB4" w14:textId="77777777" w:rsidR="00452210" w:rsidRDefault="00452210" w:rsidP="00BC39CD"/>
    <w:p w14:paraId="0A50BB07" w14:textId="304E7D3E" w:rsidR="00B43F63" w:rsidRPr="00233C52" w:rsidRDefault="00B43F63" w:rsidP="00452210">
      <w:pPr>
        <w:pStyle w:val="Heading2"/>
      </w:pPr>
      <w:r w:rsidRPr="00233C52">
        <w:t>3.</w:t>
      </w:r>
      <w:r>
        <w:t>2</w:t>
      </w:r>
      <w:r w:rsidRPr="00233C52">
        <w:t xml:space="preserve"> Detection of Isomalto</w:t>
      </w:r>
      <w:r w:rsidR="00C852BD">
        <w:t>-</w:t>
      </w:r>
      <w:r w:rsidRPr="00233C52">
        <w:t>oligosaccharides as dietary fibre by permitted methods of analysis and AOAC 2017.16</w:t>
      </w:r>
    </w:p>
    <w:p w14:paraId="3EFB0A7D" w14:textId="77777777" w:rsidR="00890E63" w:rsidRDefault="00890E63" w:rsidP="00F34DDD">
      <w:pPr>
        <w:rPr>
          <w:lang w:bidi="ar-SA"/>
        </w:rPr>
      </w:pPr>
    </w:p>
    <w:p w14:paraId="19E60079" w14:textId="4C145047" w:rsidR="00F34DDD" w:rsidRDefault="00D04189" w:rsidP="00F34DDD">
      <w:pPr>
        <w:rPr>
          <w:lang w:bidi="ar-SA"/>
        </w:rPr>
      </w:pPr>
      <w:r>
        <w:rPr>
          <w:lang w:bidi="ar-SA"/>
        </w:rPr>
        <w:t xml:space="preserve">As with GOS, there are already methods permitted by the Code that are detecting </w:t>
      </w:r>
      <w:r w:rsidR="00DD35D9">
        <w:rPr>
          <w:lang w:bidi="ar-SA"/>
        </w:rPr>
        <w:t>isomalto-oligosaccharides (IMO)</w:t>
      </w:r>
      <w:r>
        <w:rPr>
          <w:lang w:bidi="ar-SA"/>
        </w:rPr>
        <w:t xml:space="preserve">. </w:t>
      </w:r>
      <w:r w:rsidR="00F34DDD">
        <w:rPr>
          <w:lang w:bidi="ar-SA"/>
        </w:rPr>
        <w:t>During the assessment for</w:t>
      </w:r>
      <w:r w:rsidR="003649CF">
        <w:rPr>
          <w:lang w:bidi="ar-SA"/>
        </w:rPr>
        <w:t xml:space="preserve"> this application</w:t>
      </w:r>
      <w:r w:rsidR="00F34DDD">
        <w:rPr>
          <w:lang w:bidi="ar-SA"/>
        </w:rPr>
        <w:t xml:space="preserve"> A1178, FSANZ noted IMO were </w:t>
      </w:r>
      <w:r w:rsidR="00C852BD">
        <w:rPr>
          <w:lang w:bidi="ar-SA"/>
        </w:rPr>
        <w:t>identified</w:t>
      </w:r>
      <w:r w:rsidR="00F34DDD">
        <w:rPr>
          <w:lang w:bidi="ar-SA"/>
        </w:rPr>
        <w:t xml:space="preserve"> as non-digestible oligosaccharides (NDO) measured as dietary fibre by AOAC 2017.16 (Codex 2021), AOAC 2001.03 (based on scientific literature) and AOAC 985.29 and 991.43 (</w:t>
      </w:r>
      <w:r w:rsidR="00F34DDD" w:rsidRPr="007B66F4">
        <w:rPr>
          <w:rFonts w:cs="Arial"/>
          <w:szCs w:val="22"/>
        </w:rPr>
        <w:t>McCleary and Cox 2017</w:t>
      </w:r>
      <w:r w:rsidR="00F34DDD">
        <w:rPr>
          <w:rFonts w:cs="Arial"/>
          <w:szCs w:val="22"/>
        </w:rPr>
        <w:t>)</w:t>
      </w:r>
      <w:r w:rsidR="00F34DDD">
        <w:rPr>
          <w:lang w:bidi="ar-SA"/>
        </w:rPr>
        <w:t xml:space="preserve">. </w:t>
      </w:r>
    </w:p>
    <w:p w14:paraId="27ACE5B2" w14:textId="5E02A723" w:rsidR="00F34DDD" w:rsidRDefault="00F34DDD" w:rsidP="00F34DDD">
      <w:pPr>
        <w:rPr>
          <w:lang w:bidi="ar-SA"/>
        </w:rPr>
      </w:pPr>
    </w:p>
    <w:p w14:paraId="01EBAB29" w14:textId="3D8CDD2A" w:rsidR="00DF5F6C" w:rsidRDefault="00F34DDD" w:rsidP="00DF5F6C">
      <w:pPr>
        <w:rPr>
          <w:lang w:bidi="ar-SA"/>
        </w:rPr>
      </w:pPr>
      <w:r>
        <w:rPr>
          <w:lang w:bidi="ar-SA"/>
        </w:rPr>
        <w:t>FSANZ sought to quantify levels of IMO in the Australia</w:t>
      </w:r>
      <w:r w:rsidR="00C852BD">
        <w:rPr>
          <w:lang w:bidi="ar-SA"/>
        </w:rPr>
        <w:t xml:space="preserve">n and </w:t>
      </w:r>
      <w:r>
        <w:rPr>
          <w:lang w:bidi="ar-SA"/>
        </w:rPr>
        <w:t>New Zealand food supply. Naturally occurring IMO with a degree of polymerisation (DP)</w:t>
      </w:r>
      <w:r>
        <w:rPr>
          <w:rStyle w:val="FootnoteReference"/>
          <w:lang w:bidi="ar-SA"/>
        </w:rPr>
        <w:footnoteReference w:id="8"/>
      </w:r>
      <w:r>
        <w:rPr>
          <w:lang w:bidi="ar-SA"/>
        </w:rPr>
        <w:t xml:space="preserve"> 3-9 is found in fermented foods such as sourdough bread, kimchi, </w:t>
      </w:r>
      <w:r w:rsidRPr="007D7192">
        <w:rPr>
          <w:lang w:bidi="ar-SA"/>
        </w:rPr>
        <w:t>miso, sake, and soy sauce</w:t>
      </w:r>
      <w:r>
        <w:rPr>
          <w:lang w:bidi="ar-SA"/>
        </w:rPr>
        <w:t xml:space="preserve">. </w:t>
      </w:r>
      <w:r w:rsidR="00DF5F6C">
        <w:rPr>
          <w:lang w:bidi="ar-SA"/>
        </w:rPr>
        <w:t xml:space="preserve">FSANZ identified one reported value for naturally occurring levels of IMO in sake (Japanese </w:t>
      </w:r>
      <w:r w:rsidR="00546088">
        <w:rPr>
          <w:lang w:bidi="ar-SA"/>
        </w:rPr>
        <w:t>alcoholic drink), which contained</w:t>
      </w:r>
      <w:r w:rsidR="00DF5F6C">
        <w:rPr>
          <w:lang w:bidi="ar-SA"/>
        </w:rPr>
        <w:t xml:space="preserve"> IMO with a DP 3 or more at levels of 0.112-0.234 g/100g (</w:t>
      </w:r>
      <w:r w:rsidR="00DF5F6C" w:rsidRPr="00CC7D68">
        <w:rPr>
          <w:rFonts w:cs="Arial"/>
          <w:szCs w:val="22"/>
        </w:rPr>
        <w:t>Hayakawa</w:t>
      </w:r>
      <w:r w:rsidR="00DF5F6C">
        <w:rPr>
          <w:rFonts w:cs="Arial"/>
          <w:szCs w:val="22"/>
        </w:rPr>
        <w:t xml:space="preserve"> et al. 2000)</w:t>
      </w:r>
      <w:r w:rsidR="00DF5F6C">
        <w:rPr>
          <w:lang w:bidi="ar-SA"/>
        </w:rPr>
        <w:t xml:space="preserve">. </w:t>
      </w:r>
    </w:p>
    <w:p w14:paraId="796805BD" w14:textId="77777777" w:rsidR="00DF5F6C" w:rsidRDefault="00DF5F6C" w:rsidP="00F34DDD">
      <w:pPr>
        <w:rPr>
          <w:lang w:bidi="ar-SA"/>
        </w:rPr>
      </w:pPr>
    </w:p>
    <w:p w14:paraId="243EA756" w14:textId="34068F7B" w:rsidR="00F34DDD" w:rsidRDefault="00F34DDD" w:rsidP="00F34DDD">
      <w:pPr>
        <w:rPr>
          <w:lang w:bidi="ar-SA"/>
        </w:rPr>
      </w:pPr>
      <w:r>
        <w:rPr>
          <w:lang w:bidi="ar-SA"/>
        </w:rPr>
        <w:t xml:space="preserve">IMO can </w:t>
      </w:r>
      <w:r w:rsidR="00DF5F6C">
        <w:rPr>
          <w:lang w:bidi="ar-SA"/>
        </w:rPr>
        <w:t xml:space="preserve">also </w:t>
      </w:r>
      <w:r>
        <w:rPr>
          <w:lang w:bidi="ar-SA"/>
        </w:rPr>
        <w:t>be synthetically produced through the enzymatic hydrolysis of starch.</w:t>
      </w:r>
      <w:r w:rsidR="00DF5F6C">
        <w:rPr>
          <w:lang w:bidi="ar-SA"/>
        </w:rPr>
        <w:t xml:space="preserve"> </w:t>
      </w:r>
      <w:r>
        <w:rPr>
          <w:lang w:bidi="ar-SA"/>
        </w:rPr>
        <w:lastRenderedPageBreak/>
        <w:t xml:space="preserve">FSANZ is not aware of many foods containing </w:t>
      </w:r>
      <w:r w:rsidR="00DF5F6C">
        <w:rPr>
          <w:lang w:bidi="ar-SA"/>
        </w:rPr>
        <w:t xml:space="preserve">synthetically produced </w:t>
      </w:r>
      <w:r>
        <w:rPr>
          <w:lang w:bidi="ar-SA"/>
        </w:rPr>
        <w:t>IMO in Australia and New Zealand, however note that IMO are permitted as novel food</w:t>
      </w:r>
      <w:r w:rsidR="006A7A4E">
        <w:rPr>
          <w:lang w:bidi="ar-SA"/>
        </w:rPr>
        <w:t>s</w:t>
      </w:r>
      <w:r>
        <w:rPr>
          <w:lang w:bidi="ar-SA"/>
        </w:rPr>
        <w:t xml:space="preserve"> in the Code</w:t>
      </w:r>
      <w:r>
        <w:rPr>
          <w:rStyle w:val="FootnoteReference"/>
          <w:lang w:bidi="ar-SA"/>
        </w:rPr>
        <w:footnoteReference w:id="9"/>
      </w:r>
      <w:r>
        <w:rPr>
          <w:lang w:bidi="ar-SA"/>
        </w:rPr>
        <w:t xml:space="preserve"> </w:t>
      </w:r>
      <w:r w:rsidR="00DF5F6C">
        <w:rPr>
          <w:lang w:bidi="ar-SA"/>
        </w:rPr>
        <w:t>for</w:t>
      </w:r>
      <w:r>
        <w:rPr>
          <w:lang w:bidi="ar-SA"/>
        </w:rPr>
        <w:t xml:space="preserve"> use </w:t>
      </w:r>
      <w:r w:rsidR="00DF5F6C">
        <w:rPr>
          <w:lang w:bidi="ar-SA"/>
        </w:rPr>
        <w:t>as a</w:t>
      </w:r>
      <w:r>
        <w:rPr>
          <w:lang w:bidi="ar-SA"/>
        </w:rPr>
        <w:t xml:space="preserve">n </w:t>
      </w:r>
      <w:r>
        <w:t>alternative (lower energy) sweetener and bulk filler in a range of foods such</w:t>
      </w:r>
      <w:r w:rsidR="00FE38AD">
        <w:t xml:space="preserve"> </w:t>
      </w:r>
      <w:r>
        <w:t xml:space="preserve">as </w:t>
      </w:r>
      <w:r w:rsidRPr="00B4558F">
        <w:rPr>
          <w:lang w:eastAsia="en-AU" w:bidi="ar-SA"/>
        </w:rPr>
        <w:t>carbonated beverages, sports and energy drinks, soy drinks, milk-based drinks, milk-based and non-milk-based meal replacement drinks, fruit juices, fruit-flavoured drinks, meal replacement bars, breakfast bars and confection</w:t>
      </w:r>
      <w:r>
        <w:rPr>
          <w:lang w:eastAsia="en-AU" w:bidi="ar-SA"/>
        </w:rPr>
        <w:t>e</w:t>
      </w:r>
      <w:r w:rsidRPr="00B4558F">
        <w:rPr>
          <w:lang w:eastAsia="en-AU" w:bidi="ar-SA"/>
        </w:rPr>
        <w:t>ry</w:t>
      </w:r>
      <w:r w:rsidR="00452210">
        <w:rPr>
          <w:lang w:eastAsia="en-AU" w:bidi="ar-SA"/>
        </w:rPr>
        <w:t xml:space="preserve">. Unlike GOS, </w:t>
      </w:r>
      <w:r w:rsidR="00452210">
        <w:t xml:space="preserve">IMO is not permitted for use in </w:t>
      </w:r>
      <w:r w:rsidR="00452210">
        <w:rPr>
          <w:szCs w:val="22"/>
        </w:rPr>
        <w:t>infant formula products, infant food and formulated supplementary foods for young children.</w:t>
      </w:r>
      <w:r w:rsidR="001F4A20">
        <w:rPr>
          <w:lang w:eastAsia="en-AU" w:bidi="ar-SA"/>
        </w:rPr>
        <w:t xml:space="preserve"> </w:t>
      </w:r>
      <w:r w:rsidR="001F4A20">
        <w:rPr>
          <w:lang w:bidi="ar-SA"/>
        </w:rPr>
        <w:t xml:space="preserve">(FSANZ 2016; </w:t>
      </w:r>
      <w:hyperlink r:id="rId25" w:history="1">
        <w:r w:rsidR="001F4A20" w:rsidRPr="003C7818">
          <w:rPr>
            <w:rStyle w:val="Hyperlink"/>
            <w:lang w:bidi="ar-SA"/>
          </w:rPr>
          <w:t>FSANZ food composition database</w:t>
        </w:r>
      </w:hyperlink>
      <w:r w:rsidR="001F4A20">
        <w:rPr>
          <w:lang w:bidi="ar-SA"/>
        </w:rPr>
        <w:t>)</w:t>
      </w:r>
      <w:r>
        <w:rPr>
          <w:lang w:bidi="ar-SA"/>
        </w:rPr>
        <w:t>. FSANZ consider</w:t>
      </w:r>
      <w:r w:rsidR="00546088">
        <w:rPr>
          <w:lang w:bidi="ar-SA"/>
        </w:rPr>
        <w:t>ed</w:t>
      </w:r>
      <w:r>
        <w:rPr>
          <w:lang w:bidi="ar-SA"/>
        </w:rPr>
        <w:t xml:space="preserve"> most of </w:t>
      </w:r>
      <w:r w:rsidR="001F4A20">
        <w:rPr>
          <w:lang w:bidi="ar-SA"/>
        </w:rPr>
        <w:t>the above</w:t>
      </w:r>
      <w:r>
        <w:rPr>
          <w:lang w:bidi="ar-SA"/>
        </w:rPr>
        <w:t xml:space="preserve"> food products would not be </w:t>
      </w:r>
      <w:r w:rsidR="001F4A20">
        <w:rPr>
          <w:lang w:bidi="ar-SA"/>
        </w:rPr>
        <w:t>best suited for analysis</w:t>
      </w:r>
      <w:r>
        <w:rPr>
          <w:lang w:bidi="ar-SA"/>
        </w:rPr>
        <w:t xml:space="preserve"> using AOAC 2017.16 </w:t>
      </w:r>
      <w:r w:rsidR="001F4A20">
        <w:rPr>
          <w:lang w:bidi="ar-SA"/>
        </w:rPr>
        <w:t>unless they</w:t>
      </w:r>
      <w:r>
        <w:rPr>
          <w:lang w:bidi="ar-SA"/>
        </w:rPr>
        <w:t xml:space="preserve"> contain</w:t>
      </w:r>
      <w:r w:rsidR="001F4A20">
        <w:rPr>
          <w:lang w:bidi="ar-SA"/>
        </w:rPr>
        <w:t>ed</w:t>
      </w:r>
      <w:r>
        <w:rPr>
          <w:lang w:bidi="ar-SA"/>
        </w:rPr>
        <w:t xml:space="preserve"> complex mixtures of LMWDF and HMWDF, and </w:t>
      </w:r>
      <w:r w:rsidR="001F4A20">
        <w:rPr>
          <w:lang w:bidi="ar-SA"/>
        </w:rPr>
        <w:t xml:space="preserve">note </w:t>
      </w:r>
      <w:r>
        <w:rPr>
          <w:lang w:bidi="ar-SA"/>
        </w:rPr>
        <w:t>the</w:t>
      </w:r>
      <w:r w:rsidR="001F4A20">
        <w:rPr>
          <w:lang w:bidi="ar-SA"/>
        </w:rPr>
        <w:t>re is little use in analysing products with methods of analysis where dietary</w:t>
      </w:r>
      <w:r>
        <w:rPr>
          <w:lang w:bidi="ar-SA"/>
        </w:rPr>
        <w:t xml:space="preserve"> fibre </w:t>
      </w:r>
      <w:r w:rsidR="001F4A20">
        <w:rPr>
          <w:lang w:bidi="ar-SA"/>
        </w:rPr>
        <w:t xml:space="preserve">is </w:t>
      </w:r>
      <w:r>
        <w:rPr>
          <w:lang w:bidi="ar-SA"/>
        </w:rPr>
        <w:t>added in pre-quantified levels.</w:t>
      </w:r>
      <w:r w:rsidRPr="00386FE2" w:rsidDel="00003DA4">
        <w:rPr>
          <w:lang w:bidi="ar-SA"/>
        </w:rPr>
        <w:t xml:space="preserve"> </w:t>
      </w:r>
    </w:p>
    <w:p w14:paraId="12A65B7F" w14:textId="47FC4209" w:rsidR="00F34DDD" w:rsidRDefault="00F34DDD" w:rsidP="00F34DDD">
      <w:pPr>
        <w:rPr>
          <w:lang w:bidi="ar-SA"/>
        </w:rPr>
      </w:pPr>
    </w:p>
    <w:p w14:paraId="00E44E13" w14:textId="2405278A" w:rsidR="00B43F63" w:rsidRPr="00DF5167" w:rsidRDefault="00D04189" w:rsidP="007279A6">
      <w:pPr>
        <w:rPr>
          <w:lang w:bidi="ar-SA"/>
        </w:rPr>
      </w:pPr>
      <w:r>
        <w:rPr>
          <w:lang w:bidi="ar-SA"/>
        </w:rPr>
        <w:t>FSANZ conclude</w:t>
      </w:r>
      <w:r w:rsidR="00546088">
        <w:rPr>
          <w:lang w:bidi="ar-SA"/>
        </w:rPr>
        <w:t>d</w:t>
      </w:r>
      <w:r>
        <w:rPr>
          <w:lang w:bidi="ar-SA"/>
        </w:rPr>
        <w:t xml:space="preserve"> that c</w:t>
      </w:r>
      <w:r w:rsidR="00F34DDD">
        <w:rPr>
          <w:lang w:bidi="ar-SA"/>
        </w:rPr>
        <w:t xml:space="preserve">ompared to GOS, </w:t>
      </w:r>
      <w:r w:rsidR="006A7A4E">
        <w:rPr>
          <w:lang w:bidi="ar-SA"/>
        </w:rPr>
        <w:t xml:space="preserve">there are even fewer foods containing </w:t>
      </w:r>
      <w:r w:rsidR="00F34DDD">
        <w:rPr>
          <w:lang w:bidi="ar-SA"/>
        </w:rPr>
        <w:t>naturally occurring IMO with a DP 3-9 in the Australia</w:t>
      </w:r>
      <w:r w:rsidR="00FE38AD">
        <w:rPr>
          <w:lang w:bidi="ar-SA"/>
        </w:rPr>
        <w:t>n and</w:t>
      </w:r>
      <w:r w:rsidR="00F34DDD">
        <w:rPr>
          <w:lang w:bidi="ar-SA"/>
        </w:rPr>
        <w:t xml:space="preserve"> New Zealand food supply</w:t>
      </w:r>
      <w:r w:rsidR="00FE38AD">
        <w:rPr>
          <w:lang w:bidi="ar-SA"/>
        </w:rPr>
        <w:t>, and</w:t>
      </w:r>
      <w:r w:rsidR="00F34DDD">
        <w:rPr>
          <w:lang w:bidi="ar-SA"/>
        </w:rPr>
        <w:t xml:space="preserve"> foods containing </w:t>
      </w:r>
      <w:r w:rsidR="001F4A20">
        <w:rPr>
          <w:lang w:bidi="ar-SA"/>
        </w:rPr>
        <w:t xml:space="preserve">added </w:t>
      </w:r>
      <w:r w:rsidR="00F34DDD">
        <w:rPr>
          <w:lang w:bidi="ar-SA"/>
        </w:rPr>
        <w:t xml:space="preserve">synthetic analogues of IMO </w:t>
      </w:r>
      <w:r w:rsidR="001F4A20">
        <w:rPr>
          <w:lang w:bidi="ar-SA"/>
        </w:rPr>
        <w:t>less likely</w:t>
      </w:r>
      <w:r w:rsidR="00F34DDD">
        <w:rPr>
          <w:lang w:bidi="ar-SA"/>
        </w:rPr>
        <w:t xml:space="preserve"> to be analysed using AOAC 2017.16. </w:t>
      </w:r>
      <w:r w:rsidR="006A7A4E">
        <w:rPr>
          <w:lang w:bidi="ar-SA"/>
        </w:rPr>
        <w:t>Given</w:t>
      </w:r>
      <w:r>
        <w:rPr>
          <w:lang w:bidi="ar-SA"/>
        </w:rPr>
        <w:t xml:space="preserve"> this</w:t>
      </w:r>
      <w:r w:rsidR="006A7A4E">
        <w:rPr>
          <w:lang w:bidi="ar-SA"/>
        </w:rPr>
        <w:t xml:space="preserve">, </w:t>
      </w:r>
      <w:r w:rsidR="003649CF">
        <w:rPr>
          <w:lang w:bidi="ar-SA"/>
        </w:rPr>
        <w:t xml:space="preserve">FSANZ has not </w:t>
      </w:r>
      <w:r w:rsidR="006A7A4E">
        <w:rPr>
          <w:lang w:bidi="ar-SA"/>
        </w:rPr>
        <w:t>considered IMO in relation to meeting the requirements of the Code’s dietary fibre definition</w:t>
      </w:r>
      <w:r w:rsidR="003649CF">
        <w:rPr>
          <w:lang w:bidi="ar-SA"/>
        </w:rPr>
        <w:t xml:space="preserve"> as part of this application A1178</w:t>
      </w:r>
      <w:r>
        <w:rPr>
          <w:lang w:bidi="ar-SA"/>
        </w:rPr>
        <w:t xml:space="preserve">, and </w:t>
      </w:r>
      <w:r w:rsidR="00546088">
        <w:rPr>
          <w:lang w:bidi="ar-SA"/>
        </w:rPr>
        <w:t>considered</w:t>
      </w:r>
      <w:r w:rsidR="003649CF">
        <w:rPr>
          <w:lang w:bidi="ar-SA"/>
        </w:rPr>
        <w:t xml:space="preserve"> </w:t>
      </w:r>
      <w:r>
        <w:rPr>
          <w:lang w:bidi="ar-SA"/>
        </w:rPr>
        <w:t xml:space="preserve">it appropriate to apply any </w:t>
      </w:r>
      <w:r w:rsidR="00F34DDD">
        <w:rPr>
          <w:lang w:bidi="ar-SA"/>
        </w:rPr>
        <w:t xml:space="preserve">risk management approach </w:t>
      </w:r>
      <w:r>
        <w:rPr>
          <w:lang w:bidi="ar-SA"/>
        </w:rPr>
        <w:t xml:space="preserve">for </w:t>
      </w:r>
      <w:r w:rsidR="00F34DDD">
        <w:rPr>
          <w:lang w:bidi="ar-SA"/>
        </w:rPr>
        <w:t>GOS to IMO</w:t>
      </w:r>
      <w:r>
        <w:rPr>
          <w:lang w:bidi="ar-SA"/>
        </w:rPr>
        <w:t>, with regards to considering permissions for use for AOAC 2017.16</w:t>
      </w:r>
      <w:r w:rsidR="00F34DDD">
        <w:rPr>
          <w:lang w:bidi="ar-SA"/>
        </w:rPr>
        <w:t>.</w:t>
      </w:r>
    </w:p>
    <w:p w14:paraId="217C529D" w14:textId="35CC545A" w:rsidR="00027F53" w:rsidRDefault="00027F53" w:rsidP="00F21251">
      <w:pPr>
        <w:pStyle w:val="Heading2"/>
      </w:pPr>
      <w:bookmarkStart w:id="86" w:name="_Toc67321511"/>
      <w:bookmarkStart w:id="87" w:name="_Toc69987919"/>
      <w:bookmarkStart w:id="88" w:name="_Toc70002641"/>
      <w:r>
        <w:t>3.</w:t>
      </w:r>
      <w:r w:rsidR="00B43F63">
        <w:t>3</w:t>
      </w:r>
      <w:r>
        <w:tab/>
      </w:r>
      <w:r w:rsidR="00EC2348">
        <w:t xml:space="preserve">Risk Management </w:t>
      </w:r>
      <w:r>
        <w:t>options</w:t>
      </w:r>
      <w:bookmarkEnd w:id="86"/>
      <w:bookmarkEnd w:id="87"/>
      <w:bookmarkEnd w:id="88"/>
    </w:p>
    <w:p w14:paraId="68D175B7" w14:textId="4603EC37" w:rsidR="000F5ED9" w:rsidRDefault="00E61E02" w:rsidP="001F412C">
      <w:pPr>
        <w:pStyle w:val="FSBullet1"/>
        <w:numPr>
          <w:ilvl w:val="0"/>
          <w:numId w:val="0"/>
        </w:numPr>
        <w:spacing w:after="240"/>
      </w:pPr>
      <w:r>
        <w:t>As AOAC 2017.16 measure</w:t>
      </w:r>
      <w:r w:rsidR="00747C5E">
        <w:t>s</w:t>
      </w:r>
      <w:r>
        <w:t xml:space="preserve"> GOS</w:t>
      </w:r>
      <w:r w:rsidR="00FE64A7">
        <w:t xml:space="preserve"> of any form</w:t>
      </w:r>
      <w:r>
        <w:t xml:space="preserve">, which do not meet </w:t>
      </w:r>
      <w:r w:rsidR="00FE64A7">
        <w:t xml:space="preserve">all </w:t>
      </w:r>
      <w:r w:rsidR="00774945">
        <w:t xml:space="preserve">criteria </w:t>
      </w:r>
      <w:r w:rsidR="00FE64A7">
        <w:t xml:space="preserve">for </w:t>
      </w:r>
      <w:r>
        <w:t>the Code’s definition of dietary fibre</w:t>
      </w:r>
      <w:r w:rsidR="003E21A8">
        <w:t>,</w:t>
      </w:r>
      <w:r>
        <w:t xml:space="preserve"> </w:t>
      </w:r>
      <w:r w:rsidR="00293AE4">
        <w:t xml:space="preserve">FSANZ </w:t>
      </w:r>
      <w:r>
        <w:t>considered</w:t>
      </w:r>
      <w:r w:rsidR="00293AE4">
        <w:t xml:space="preserve"> </w:t>
      </w:r>
      <w:r w:rsidR="003B746C">
        <w:t xml:space="preserve">three </w:t>
      </w:r>
      <w:r w:rsidR="00EC2348">
        <w:t xml:space="preserve">risk management </w:t>
      </w:r>
      <w:r w:rsidR="00293AE4">
        <w:t>options</w:t>
      </w:r>
      <w:r>
        <w:t xml:space="preserve"> during the assessment of</w:t>
      </w:r>
      <w:r w:rsidR="00E273EE">
        <w:t xml:space="preserve"> this application</w:t>
      </w:r>
      <w:r>
        <w:t xml:space="preserve"> A1178</w:t>
      </w:r>
      <w:r w:rsidR="003B746C">
        <w:t>:</w:t>
      </w:r>
    </w:p>
    <w:p w14:paraId="0F31E764" w14:textId="08A1CE1C" w:rsidR="008D5DD7" w:rsidRDefault="008D5DD7" w:rsidP="00DF5167">
      <w:pPr>
        <w:pStyle w:val="ListParagraph"/>
        <w:widowControl/>
        <w:numPr>
          <w:ilvl w:val="0"/>
          <w:numId w:val="88"/>
        </w:numPr>
      </w:pPr>
      <w:r>
        <w:t xml:space="preserve">Maintain the status quo by not permitting AOAC 2017.16 as a </w:t>
      </w:r>
      <w:r w:rsidR="00636888">
        <w:t xml:space="preserve">dietary fibre </w:t>
      </w:r>
      <w:r>
        <w:t>method of analysis.</w:t>
      </w:r>
    </w:p>
    <w:p w14:paraId="3DAB5FC7" w14:textId="70384C54" w:rsidR="00164841" w:rsidRDefault="0082338B" w:rsidP="00DF5167">
      <w:pPr>
        <w:pStyle w:val="ListParagraph"/>
        <w:widowControl/>
        <w:numPr>
          <w:ilvl w:val="0"/>
          <w:numId w:val="88"/>
        </w:numPr>
      </w:pPr>
      <w:r w:rsidRPr="0082338B">
        <w:t>Permit AOAC 2017.16 as a dietary fibre method of analysis with restrictions against its use on foods containing GOS</w:t>
      </w:r>
      <w:r w:rsidR="00E273EE">
        <w:t xml:space="preserve"> and IMO</w:t>
      </w:r>
      <w:r w:rsidR="009A31F3">
        <w:t>.</w:t>
      </w:r>
    </w:p>
    <w:p w14:paraId="014AD659" w14:textId="3B68C71C" w:rsidR="00EF58A3" w:rsidRPr="005821BA" w:rsidRDefault="008D5DD7" w:rsidP="00DF5167">
      <w:pPr>
        <w:pStyle w:val="ListParagraph"/>
        <w:widowControl/>
        <w:numPr>
          <w:ilvl w:val="0"/>
          <w:numId w:val="88"/>
        </w:numPr>
        <w:spacing w:after="240"/>
      </w:pPr>
      <w:r>
        <w:t xml:space="preserve">Permit AOAC 2017.16 </w:t>
      </w:r>
      <w:r w:rsidRPr="009A31F3">
        <w:t>without restriction</w:t>
      </w:r>
      <w:r>
        <w:t>.</w:t>
      </w:r>
    </w:p>
    <w:p w14:paraId="4FC5C1CD" w14:textId="5A4A7C92" w:rsidR="00747C5E" w:rsidRDefault="00747C5E" w:rsidP="00027F53">
      <w:pPr>
        <w:widowControl/>
      </w:pPr>
      <w:r>
        <w:t>In considering these options, FSANZ notes that AOAC 2001.03, a method of analysis already permitted in the Code, also measures GOS.</w:t>
      </w:r>
      <w:r w:rsidR="00813679">
        <w:t xml:space="preserve"> FSANZ notes any risk management approach could justifiably b</w:t>
      </w:r>
      <w:r w:rsidR="002C0E5D">
        <w:t>e applied to IMO</w:t>
      </w:r>
      <w:r w:rsidR="00813679">
        <w:t>, which are not as prevalent in the Australia</w:t>
      </w:r>
      <w:r w:rsidR="00FE38AD">
        <w:t>n and</w:t>
      </w:r>
      <w:r w:rsidR="00813679">
        <w:t xml:space="preserve"> New Zealand food supply</w:t>
      </w:r>
      <w:r w:rsidR="002C0E5D">
        <w:t xml:space="preserve"> as GOS</w:t>
      </w:r>
      <w:r w:rsidR="00813679">
        <w:t>.</w:t>
      </w:r>
    </w:p>
    <w:p w14:paraId="0721551F" w14:textId="77777777" w:rsidR="00747C5E" w:rsidRDefault="00747C5E" w:rsidP="00027F53">
      <w:pPr>
        <w:widowControl/>
      </w:pPr>
    </w:p>
    <w:p w14:paraId="2949A42A" w14:textId="5AFE2A13" w:rsidR="00E61E02" w:rsidRPr="005821BA" w:rsidRDefault="002C0E5D" w:rsidP="00027F53">
      <w:pPr>
        <w:widowControl/>
      </w:pPr>
      <w:r w:rsidRPr="002C0E5D">
        <w:t>FSANZ also considered the Code’s definition of dietary fibre against those of countries comparable to Australia and New Zealand, such as the US, Canada and the EU, noting some included additional beneficial physiological effects not listed in the Code’s definition. Having noted differences between the Code’s definition and those of the other countries, FSANZ concluded that amending the Code’s definition of dietary fibre would require further assessment and is beyond the scope of</w:t>
      </w:r>
      <w:r w:rsidR="00E273EE">
        <w:t xml:space="preserve"> this application</w:t>
      </w:r>
      <w:r w:rsidRPr="002C0E5D">
        <w:t xml:space="preserve"> A1178</w:t>
      </w:r>
      <w:r w:rsidR="00E61E02">
        <w:rPr>
          <w:szCs w:val="22"/>
        </w:rPr>
        <w:t>.</w:t>
      </w:r>
    </w:p>
    <w:p w14:paraId="2DE747D4" w14:textId="0E5D877E" w:rsidR="00EC2348" w:rsidRPr="00636888" w:rsidRDefault="00EC2348" w:rsidP="00636888">
      <w:pPr>
        <w:pStyle w:val="Heading4"/>
        <w:widowControl/>
      </w:pPr>
      <w:r w:rsidRPr="00231735">
        <w:t>O</w:t>
      </w:r>
      <w:r w:rsidR="008D5DD7" w:rsidRPr="00231735">
        <w:t xml:space="preserve">ption 1 </w:t>
      </w:r>
      <w:r w:rsidR="00A54CAC" w:rsidRPr="00231735">
        <w:t>–</w:t>
      </w:r>
      <w:r w:rsidR="008D5DD7" w:rsidRPr="00231735">
        <w:t xml:space="preserve"> </w:t>
      </w:r>
      <w:r w:rsidRPr="00231735">
        <w:t xml:space="preserve">not permit AOAC 2017.16 as a </w:t>
      </w:r>
      <w:r w:rsidR="00636888" w:rsidRPr="00231735">
        <w:t>dietary fibre method of analysis</w:t>
      </w:r>
    </w:p>
    <w:p w14:paraId="5A3DE2CB" w14:textId="68E7F61A" w:rsidR="001D2111" w:rsidRDefault="0047075E" w:rsidP="00FF3713">
      <w:pPr>
        <w:widowControl/>
        <w:rPr>
          <w:rFonts w:cs="Arial"/>
          <w:szCs w:val="22"/>
        </w:rPr>
      </w:pPr>
      <w:r>
        <w:rPr>
          <w:lang w:eastAsia="en-AU" w:bidi="ar-SA"/>
        </w:rPr>
        <w:t>T</w:t>
      </w:r>
      <w:r>
        <w:t xml:space="preserve">he risk assessment conclusions in SD1 found that AOAC 2017.16 </w:t>
      </w:r>
      <w:r w:rsidR="00EC2348">
        <w:t xml:space="preserve">was a suitable method of analysis for total dietary fibre, </w:t>
      </w:r>
      <w:r w:rsidR="00EC2348" w:rsidRPr="00DF5167">
        <w:t xml:space="preserve">and </w:t>
      </w:r>
      <w:r w:rsidRPr="00DF5167">
        <w:t xml:space="preserve">has </w:t>
      </w:r>
      <w:r w:rsidR="00EC2348" w:rsidRPr="00DF5167">
        <w:t xml:space="preserve">some </w:t>
      </w:r>
      <w:r w:rsidRPr="00DF5167">
        <w:t xml:space="preserve">advantages </w:t>
      </w:r>
      <w:r w:rsidR="008707F0" w:rsidRPr="00DF5167">
        <w:t xml:space="preserve">compared </w:t>
      </w:r>
      <w:r w:rsidRPr="00DF5167">
        <w:t xml:space="preserve">to current </w:t>
      </w:r>
      <w:r w:rsidR="00131BC3" w:rsidRPr="00DF5167">
        <w:t>total</w:t>
      </w:r>
      <w:r w:rsidRPr="00DF5167">
        <w:t xml:space="preserve"> dietary fibre methods of analysis</w:t>
      </w:r>
      <w:r w:rsidR="008707F0" w:rsidRPr="00DF5167">
        <w:t xml:space="preserve"> in the Code</w:t>
      </w:r>
      <w:r w:rsidR="00EC2348" w:rsidRPr="00DF5167">
        <w:rPr>
          <w:lang w:eastAsia="en-AU"/>
        </w:rPr>
        <w:t xml:space="preserve">. </w:t>
      </w:r>
      <w:r w:rsidR="00EC2348" w:rsidRPr="00DF5167">
        <w:t>It provides a single,</w:t>
      </w:r>
      <w:r w:rsidR="00636888" w:rsidRPr="00DF5167">
        <w:t xml:space="preserve"> more comprehensive</w:t>
      </w:r>
      <w:r w:rsidR="00EC2348" w:rsidRPr="00DF5167">
        <w:t xml:space="preserve"> method to determine total dietary fibre </w:t>
      </w:r>
      <w:r w:rsidR="00EC2348" w:rsidRPr="00DF5167">
        <w:rPr>
          <w:lang w:eastAsia="en-AU" w:bidi="ar-SA"/>
        </w:rPr>
        <w:t>for foods containing a complex mixture of HMWDF and LMWDF</w:t>
      </w:r>
      <w:r w:rsidR="00EC2348" w:rsidRPr="00DF5167">
        <w:t xml:space="preserve">. </w:t>
      </w:r>
      <w:r w:rsidR="00EC2348" w:rsidRPr="00DF5167">
        <w:rPr>
          <w:lang w:eastAsia="en-AU" w:bidi="ar-SA"/>
        </w:rPr>
        <w:t xml:space="preserve">It </w:t>
      </w:r>
      <w:r w:rsidR="00EC2348" w:rsidRPr="00DF5167">
        <w:rPr>
          <w:rFonts w:cs="Arial"/>
          <w:szCs w:val="22"/>
        </w:rPr>
        <w:t>is less cost-effective but still suitable for use on samples containing only HMWDF and/or individual specifically named dietary fibres.</w:t>
      </w:r>
      <w:r w:rsidR="00EC2348">
        <w:rPr>
          <w:rFonts w:cs="Arial"/>
          <w:szCs w:val="22"/>
        </w:rPr>
        <w:t xml:space="preserve"> </w:t>
      </w:r>
    </w:p>
    <w:p w14:paraId="25D92CDF" w14:textId="77777777" w:rsidR="00546088" w:rsidRDefault="00546088" w:rsidP="00FF3713">
      <w:pPr>
        <w:widowControl/>
        <w:rPr>
          <w:rFonts w:cs="Arial"/>
          <w:szCs w:val="22"/>
        </w:rPr>
      </w:pPr>
    </w:p>
    <w:p w14:paraId="5A0FA534" w14:textId="66B41F81" w:rsidR="005858FE" w:rsidRDefault="005858FE" w:rsidP="00FF3713">
      <w:pPr>
        <w:widowControl/>
        <w:rPr>
          <w:rFonts w:cs="Arial"/>
          <w:szCs w:val="22"/>
        </w:rPr>
      </w:pPr>
      <w:r w:rsidRPr="001D2111">
        <w:lastRenderedPageBreak/>
        <w:t xml:space="preserve">As part of </w:t>
      </w:r>
      <w:r>
        <w:t xml:space="preserve">assessing </w:t>
      </w:r>
      <w:r w:rsidR="00E273EE">
        <w:rPr>
          <w:lang w:bidi="ar-SA"/>
        </w:rPr>
        <w:t xml:space="preserve">this application </w:t>
      </w:r>
      <w:r w:rsidRPr="001D2111">
        <w:t>A1178, FSANZ considered if GOS</w:t>
      </w:r>
      <w:r>
        <w:t xml:space="preserve"> in any form</w:t>
      </w:r>
      <w:r w:rsidRPr="001D2111">
        <w:t xml:space="preserve"> met the Code’s definition of dietary fibre and concluded that it does not</w:t>
      </w:r>
      <w:r>
        <w:t xml:space="preserve"> meet all criteria</w:t>
      </w:r>
      <w:r w:rsidRPr="001D2111">
        <w:t xml:space="preserve"> (specifically, it does not promote one or more of the three listed beneficial physiological effects).</w:t>
      </w:r>
      <w:r>
        <w:rPr>
          <w:rFonts w:cs="Arial"/>
          <w:szCs w:val="22"/>
        </w:rPr>
        <w:t xml:space="preserve"> </w:t>
      </w:r>
      <w:r w:rsidR="00380544">
        <w:rPr>
          <w:rFonts w:cs="Arial"/>
          <w:szCs w:val="22"/>
        </w:rPr>
        <w:t>During the assessment, FSANZ also noted the method detects IMO. Based on the low prevalence of naturally occurring IMO in the food supply and the types of food</w:t>
      </w:r>
      <w:r w:rsidR="00546088">
        <w:rPr>
          <w:rFonts w:cs="Arial"/>
          <w:szCs w:val="22"/>
        </w:rPr>
        <w:t>s with added</w:t>
      </w:r>
      <w:r w:rsidR="00380544">
        <w:rPr>
          <w:rFonts w:cs="Arial"/>
          <w:szCs w:val="22"/>
        </w:rPr>
        <w:t xml:space="preserve"> </w:t>
      </w:r>
      <w:r w:rsidR="00546088">
        <w:rPr>
          <w:rFonts w:cs="Arial"/>
          <w:szCs w:val="22"/>
        </w:rPr>
        <w:t>synthetic</w:t>
      </w:r>
      <w:r w:rsidR="00FF3713">
        <w:rPr>
          <w:rFonts w:cs="Arial"/>
          <w:szCs w:val="22"/>
        </w:rPr>
        <w:t xml:space="preserve"> analogues of</w:t>
      </w:r>
      <w:r w:rsidR="00380544">
        <w:rPr>
          <w:rFonts w:cs="Arial"/>
          <w:szCs w:val="22"/>
        </w:rPr>
        <w:t xml:space="preserve"> IMO, further assessment </w:t>
      </w:r>
      <w:r w:rsidR="00546088">
        <w:rPr>
          <w:rFonts w:cs="Arial"/>
          <w:szCs w:val="22"/>
        </w:rPr>
        <w:t xml:space="preserve">of IMO </w:t>
      </w:r>
      <w:r w:rsidR="00380544">
        <w:rPr>
          <w:rFonts w:cs="Arial"/>
          <w:szCs w:val="22"/>
        </w:rPr>
        <w:t>was not considered necessary (see section 3.2 above).</w:t>
      </w:r>
      <w:r w:rsidR="00636888">
        <w:rPr>
          <w:rFonts w:cs="Arial"/>
          <w:szCs w:val="22"/>
        </w:rPr>
        <w:t xml:space="preserve"> </w:t>
      </w:r>
      <w:r w:rsidR="00380544">
        <w:rPr>
          <w:rFonts w:cs="Arial"/>
          <w:szCs w:val="22"/>
        </w:rPr>
        <w:t xml:space="preserve">These were </w:t>
      </w:r>
      <w:r w:rsidR="00747C5E">
        <w:rPr>
          <w:rFonts w:cs="Arial"/>
          <w:szCs w:val="22"/>
        </w:rPr>
        <w:t xml:space="preserve">the only </w:t>
      </w:r>
      <w:r w:rsidR="00546088">
        <w:rPr>
          <w:rFonts w:cs="Arial"/>
          <w:szCs w:val="22"/>
        </w:rPr>
        <w:t>shortcomings</w:t>
      </w:r>
      <w:r w:rsidR="00747C5E">
        <w:rPr>
          <w:rFonts w:cs="Arial"/>
          <w:szCs w:val="22"/>
        </w:rPr>
        <w:t xml:space="preserve"> that FSANZ </w:t>
      </w:r>
      <w:r w:rsidR="00546088">
        <w:rPr>
          <w:rFonts w:cs="Arial"/>
          <w:szCs w:val="22"/>
        </w:rPr>
        <w:t>identified</w:t>
      </w:r>
      <w:r w:rsidR="00747C5E">
        <w:rPr>
          <w:rFonts w:cs="Arial"/>
          <w:szCs w:val="22"/>
        </w:rPr>
        <w:t xml:space="preserve"> in terms of permitting AOAC 2017.16</w:t>
      </w:r>
      <w:r w:rsidR="00DF5167">
        <w:rPr>
          <w:rFonts w:cs="Arial"/>
          <w:szCs w:val="22"/>
        </w:rPr>
        <w:t>.</w:t>
      </w:r>
      <w:r w:rsidR="00380544">
        <w:rPr>
          <w:rFonts w:cs="Arial"/>
          <w:szCs w:val="22"/>
        </w:rPr>
        <w:t xml:space="preserve"> </w:t>
      </w:r>
    </w:p>
    <w:p w14:paraId="0C2DCB36" w14:textId="77777777" w:rsidR="00546088" w:rsidRDefault="00546088" w:rsidP="00FF3713">
      <w:pPr>
        <w:widowControl/>
        <w:rPr>
          <w:rFonts w:cs="Arial"/>
          <w:szCs w:val="22"/>
        </w:rPr>
      </w:pPr>
    </w:p>
    <w:p w14:paraId="07076EF2" w14:textId="748E0180" w:rsidR="005858FE" w:rsidRDefault="005858FE" w:rsidP="00FF3713">
      <w:pPr>
        <w:widowControl/>
      </w:pPr>
      <w:r w:rsidRPr="001D2111">
        <w:t xml:space="preserve">AOAC 2017.16 was developed with the Codex definition of dietary fibre as its focus which, as discussed in Section 1.4.1, </w:t>
      </w:r>
      <w:r>
        <w:t>does not prescribe</w:t>
      </w:r>
      <w:r w:rsidRPr="001D2111">
        <w:t xml:space="preserve"> accepted </w:t>
      </w:r>
      <w:r w:rsidR="00546088">
        <w:t xml:space="preserve">beneficial </w:t>
      </w:r>
      <w:r w:rsidRPr="001D2111">
        <w:t xml:space="preserve">physiological </w:t>
      </w:r>
      <w:r w:rsidR="00546088">
        <w:t>health effects and instead allows for</w:t>
      </w:r>
      <w:r>
        <w:t xml:space="preserve"> each regulatory body to </w:t>
      </w:r>
      <w:r w:rsidR="00546088">
        <w:t>determine and specify these</w:t>
      </w:r>
      <w:r w:rsidRPr="001D2111">
        <w:t xml:space="preserve">. Therefore, not all components measured by the method will align with every country’s definition of dietary fibre. GOS is recognised as a dietary fibre in </w:t>
      </w:r>
      <w:r>
        <w:t>some</w:t>
      </w:r>
      <w:r w:rsidRPr="001D2111">
        <w:t xml:space="preserve"> countries comparable </w:t>
      </w:r>
      <w:r>
        <w:t>to Australia and New Zealand</w:t>
      </w:r>
      <w:r w:rsidRPr="001D2111">
        <w:t xml:space="preserve"> based on beneficial physiological effects that are not listed in the Code (such as Canada through the </w:t>
      </w:r>
      <w:r w:rsidRPr="00133091">
        <w:rPr>
          <w:i/>
        </w:rPr>
        <w:t>provision of energy-yielding metabolites through colonic fermentation</w:t>
      </w:r>
      <w:r w:rsidRPr="001D2111">
        <w:t xml:space="preserve"> and the US through the </w:t>
      </w:r>
      <w:r w:rsidRPr="00133091">
        <w:rPr>
          <w:i/>
        </w:rPr>
        <w:t>promotion of calcium absorption</w:t>
      </w:r>
      <w:r w:rsidRPr="001D2111">
        <w:t xml:space="preserve">). </w:t>
      </w:r>
      <w:r w:rsidRPr="00304B7F">
        <w:t xml:space="preserve">FSANZ considered it beyond the scope of </w:t>
      </w:r>
      <w:r w:rsidR="00E273EE">
        <w:rPr>
          <w:lang w:bidi="ar-SA"/>
        </w:rPr>
        <w:t xml:space="preserve">this application </w:t>
      </w:r>
      <w:r w:rsidRPr="00304B7F">
        <w:t xml:space="preserve">A1178 to assess </w:t>
      </w:r>
      <w:r>
        <w:t>whether the definition of dietary fibre should be amended to include any of the</w:t>
      </w:r>
      <w:r w:rsidRPr="00304B7F">
        <w:t xml:space="preserve"> beneficial physiological effects </w:t>
      </w:r>
      <w:r>
        <w:t xml:space="preserve">for which GOS has been recognised overseas </w:t>
      </w:r>
      <w:r w:rsidRPr="001D2111">
        <w:t>as a dietary fibre</w:t>
      </w:r>
      <w:r>
        <w:t>.</w:t>
      </w:r>
    </w:p>
    <w:p w14:paraId="157453A3" w14:textId="77777777" w:rsidR="00546088" w:rsidRPr="005858FE" w:rsidRDefault="00546088" w:rsidP="00FF3713">
      <w:pPr>
        <w:widowControl/>
        <w:rPr>
          <w:rFonts w:cs="Arial"/>
          <w:szCs w:val="22"/>
        </w:rPr>
      </w:pPr>
    </w:p>
    <w:p w14:paraId="48499933" w14:textId="4E46D0D4" w:rsidR="001557C0" w:rsidRDefault="00175B56" w:rsidP="00FF3713">
      <w:pPr>
        <w:widowControl/>
        <w:rPr>
          <w:lang w:eastAsia="en-AU" w:bidi="ar-SA"/>
        </w:rPr>
      </w:pPr>
      <w:r>
        <w:rPr>
          <w:lang w:eastAsia="en-AU" w:bidi="ar-SA"/>
        </w:rPr>
        <w:t xml:space="preserve">Rejecting AOAC 2017.16 on the basis it measures GOS </w:t>
      </w:r>
      <w:r w:rsidR="00FF3713">
        <w:rPr>
          <w:lang w:eastAsia="en-AU" w:bidi="ar-SA"/>
        </w:rPr>
        <w:t>and IMO as dietary fibre</w:t>
      </w:r>
      <w:r>
        <w:rPr>
          <w:lang w:eastAsia="en-AU" w:bidi="ar-SA"/>
        </w:rPr>
        <w:t xml:space="preserve"> </w:t>
      </w:r>
      <w:r w:rsidR="00890E63">
        <w:rPr>
          <w:lang w:eastAsia="en-AU" w:bidi="ar-SA"/>
        </w:rPr>
        <w:t xml:space="preserve">(noting, </w:t>
      </w:r>
      <w:r w:rsidR="00FF3713">
        <w:rPr>
          <w:lang w:eastAsia="en-AU" w:bidi="ar-SA"/>
        </w:rPr>
        <w:t>FSANZ has not assessed</w:t>
      </w:r>
      <w:r w:rsidR="00890E63">
        <w:rPr>
          <w:lang w:eastAsia="en-AU" w:bidi="ar-SA"/>
        </w:rPr>
        <w:t xml:space="preserve"> IMO against the Code’s dietary fibre definition</w:t>
      </w:r>
      <w:r w:rsidR="00FF3713">
        <w:rPr>
          <w:lang w:eastAsia="en-AU" w:bidi="ar-SA"/>
        </w:rPr>
        <w:t xml:space="preserve">) </w:t>
      </w:r>
      <w:r>
        <w:rPr>
          <w:lang w:eastAsia="en-AU" w:bidi="ar-SA"/>
        </w:rPr>
        <w:t xml:space="preserve">would not </w:t>
      </w:r>
      <w:r w:rsidR="00380544">
        <w:rPr>
          <w:lang w:eastAsia="en-AU" w:bidi="ar-SA"/>
        </w:rPr>
        <w:t xml:space="preserve">fully </w:t>
      </w:r>
      <w:r>
        <w:rPr>
          <w:lang w:eastAsia="en-AU" w:bidi="ar-SA"/>
        </w:rPr>
        <w:t xml:space="preserve">address any potential overestimation of total dietary fibre from </w:t>
      </w:r>
      <w:r w:rsidR="00FF3713">
        <w:rPr>
          <w:lang w:eastAsia="en-AU" w:bidi="ar-SA"/>
        </w:rPr>
        <w:t>these oligosaccharides</w:t>
      </w:r>
      <w:r>
        <w:rPr>
          <w:lang w:eastAsia="en-AU" w:bidi="ar-SA"/>
        </w:rPr>
        <w:t xml:space="preserve"> </w:t>
      </w:r>
      <w:r w:rsidR="00FF3713">
        <w:rPr>
          <w:lang w:eastAsia="en-AU" w:bidi="ar-SA"/>
        </w:rPr>
        <w:t>in food databases, on</w:t>
      </w:r>
      <w:r>
        <w:rPr>
          <w:lang w:eastAsia="en-AU" w:bidi="ar-SA"/>
        </w:rPr>
        <w:t xml:space="preserve"> NIPs or towards F points for the NPSC because AOAC 2001.03, which also measures GOS</w:t>
      </w:r>
      <w:r w:rsidR="00380544">
        <w:rPr>
          <w:lang w:eastAsia="en-AU" w:bidi="ar-SA"/>
        </w:rPr>
        <w:t xml:space="preserve"> and IMO</w:t>
      </w:r>
      <w:r>
        <w:rPr>
          <w:lang w:eastAsia="en-AU" w:bidi="ar-SA"/>
        </w:rPr>
        <w:t>, would still be in the Code. Removal of AOAC 2001.03</w:t>
      </w:r>
      <w:r w:rsidR="00380544">
        <w:rPr>
          <w:lang w:eastAsia="en-AU" w:bidi="ar-SA"/>
        </w:rPr>
        <w:t xml:space="preserve"> from the Code</w:t>
      </w:r>
      <w:r>
        <w:rPr>
          <w:lang w:eastAsia="en-AU" w:bidi="ar-SA"/>
        </w:rPr>
        <w:t xml:space="preserve">, which </w:t>
      </w:r>
      <w:r w:rsidR="00380544">
        <w:rPr>
          <w:lang w:eastAsia="en-AU" w:bidi="ar-SA"/>
        </w:rPr>
        <w:t>FSANZ understands may be</w:t>
      </w:r>
      <w:r>
        <w:rPr>
          <w:lang w:eastAsia="en-AU" w:bidi="ar-SA"/>
        </w:rPr>
        <w:t xml:space="preserve"> </w:t>
      </w:r>
      <w:r w:rsidR="00380544">
        <w:rPr>
          <w:lang w:eastAsia="en-AU" w:bidi="ar-SA"/>
        </w:rPr>
        <w:t xml:space="preserve">used </w:t>
      </w:r>
      <w:r>
        <w:rPr>
          <w:lang w:eastAsia="en-AU" w:bidi="ar-SA"/>
        </w:rPr>
        <w:t>by industry, on the ground that it potentially results in an overestimation of total dietary fibre is not within scope for</w:t>
      </w:r>
      <w:r w:rsidR="00E273EE" w:rsidRPr="00E273EE">
        <w:rPr>
          <w:lang w:bidi="ar-SA"/>
        </w:rPr>
        <w:t xml:space="preserve"> </w:t>
      </w:r>
      <w:r w:rsidR="00E273EE">
        <w:rPr>
          <w:lang w:bidi="ar-SA"/>
        </w:rPr>
        <w:t>this application</w:t>
      </w:r>
      <w:r>
        <w:rPr>
          <w:lang w:eastAsia="en-AU" w:bidi="ar-SA"/>
        </w:rPr>
        <w:t xml:space="preserve"> A1178.</w:t>
      </w:r>
      <w:r w:rsidR="001C5AA2">
        <w:rPr>
          <w:lang w:eastAsia="en-AU" w:bidi="ar-SA"/>
        </w:rPr>
        <w:t xml:space="preserve"> </w:t>
      </w:r>
    </w:p>
    <w:p w14:paraId="1E093F34" w14:textId="2DAA882C" w:rsidR="00636888" w:rsidRDefault="00636888" w:rsidP="00B6696E">
      <w:pPr>
        <w:pStyle w:val="FSBullet1"/>
        <w:numPr>
          <w:ilvl w:val="0"/>
          <w:numId w:val="0"/>
        </w:numPr>
      </w:pPr>
      <w:r>
        <w:rPr>
          <w:lang w:eastAsia="en-AU"/>
        </w:rPr>
        <w:t>The risk assessment on GOS levels in the food suppl</w:t>
      </w:r>
      <w:r w:rsidR="00AC4A08">
        <w:rPr>
          <w:lang w:eastAsia="en-AU"/>
        </w:rPr>
        <w:t>y</w:t>
      </w:r>
      <w:r>
        <w:rPr>
          <w:lang w:eastAsia="en-AU"/>
        </w:rPr>
        <w:t xml:space="preserve"> found that</w:t>
      </w:r>
      <w:r w:rsidR="00EC2348">
        <w:rPr>
          <w:lang w:eastAsia="en-AU"/>
        </w:rPr>
        <w:t xml:space="preserve"> any overestimate </w:t>
      </w:r>
      <w:r>
        <w:rPr>
          <w:lang w:eastAsia="en-AU"/>
        </w:rPr>
        <w:t>in values measured from AOAC 2017.16 for</w:t>
      </w:r>
      <w:r w:rsidR="00EC2348">
        <w:rPr>
          <w:lang w:eastAsia="en-AU"/>
        </w:rPr>
        <w:t xml:space="preserve"> total dietary fibre in foods</w:t>
      </w:r>
      <w:r w:rsidR="00EC2348" w:rsidRPr="003B3A5D">
        <w:rPr>
          <w:lang w:eastAsia="en-AU"/>
        </w:rPr>
        <w:t xml:space="preserve"> </w:t>
      </w:r>
      <w:r w:rsidR="00EC2348">
        <w:rPr>
          <w:lang w:eastAsia="en-AU"/>
        </w:rPr>
        <w:t xml:space="preserve">containing GOS is at least proportionate to the current underestimate of total dietary fibre from older, less comprehensive methods in the Code </w:t>
      </w:r>
      <w:r w:rsidR="00AC4A08">
        <w:rPr>
          <w:lang w:eastAsia="en-AU"/>
        </w:rPr>
        <w:t>(up to 4g/100g)</w:t>
      </w:r>
      <w:r w:rsidR="00E122A5">
        <w:rPr>
          <w:lang w:eastAsia="en-AU"/>
        </w:rPr>
        <w:t xml:space="preserve">. </w:t>
      </w:r>
      <w:r w:rsidR="001C5AA2">
        <w:t xml:space="preserve">The low levels of GOS in the food supply would not </w:t>
      </w:r>
      <w:r w:rsidR="003D2B2E">
        <w:t xml:space="preserve">considerably </w:t>
      </w:r>
      <w:r w:rsidR="001C5AA2">
        <w:t>change many NIPs or the NPSC for many products, and therefore it is unlikely consumers will be misled into choosing one food over another.</w:t>
      </w:r>
      <w:r w:rsidR="00380544">
        <w:t xml:space="preserve"> Consumers will still be provided with sufficient information </w:t>
      </w:r>
      <w:r w:rsidR="00380544" w:rsidRPr="004D60AC">
        <w:t xml:space="preserve">to </w:t>
      </w:r>
      <w:r w:rsidR="00380544">
        <w:t>enable</w:t>
      </w:r>
      <w:r w:rsidR="00380544" w:rsidRPr="004D60AC">
        <w:t xml:space="preserve"> informed choices</w:t>
      </w:r>
      <w:r w:rsidR="00380544">
        <w:t xml:space="preserve"> on the dietary fibre content of food. Naturally occurring</w:t>
      </w:r>
      <w:r w:rsidR="001C5AA2">
        <w:t xml:space="preserve"> </w:t>
      </w:r>
      <w:r w:rsidR="00380544">
        <w:t xml:space="preserve">IMO are </w:t>
      </w:r>
      <w:r w:rsidR="00B6696E">
        <w:t xml:space="preserve">even </w:t>
      </w:r>
      <w:r w:rsidR="00380544">
        <w:t>less prevalent in the food supply than GOS, and synthetic</w:t>
      </w:r>
      <w:r w:rsidR="00FF3713">
        <w:t xml:space="preserve"> analogues of</w:t>
      </w:r>
      <w:r w:rsidR="00B6696E">
        <w:t xml:space="preserve"> IMO</w:t>
      </w:r>
      <w:r w:rsidR="00380544">
        <w:t xml:space="preserve"> appear to be added to products that are not best suited to the analysis with AOAC 2017.16. </w:t>
      </w:r>
    </w:p>
    <w:p w14:paraId="37D85EEF" w14:textId="77777777" w:rsidR="00546088" w:rsidRPr="00FF3713" w:rsidRDefault="00546088" w:rsidP="00FF3713"/>
    <w:p w14:paraId="3C72D00D" w14:textId="4430B505" w:rsidR="00EC6EA1" w:rsidRDefault="00A26756" w:rsidP="00FF3713">
      <w:pPr>
        <w:widowControl/>
        <w:rPr>
          <w:lang w:eastAsia="en-AU"/>
        </w:rPr>
      </w:pPr>
      <w:r>
        <w:rPr>
          <w:lang w:eastAsia="en-AU"/>
        </w:rPr>
        <w:t xml:space="preserve">Permitting </w:t>
      </w:r>
      <w:r w:rsidR="006B14E9">
        <w:rPr>
          <w:lang w:eastAsia="en-AU"/>
        </w:rPr>
        <w:t xml:space="preserve">AOAC 2017.16 </w:t>
      </w:r>
      <w:r>
        <w:rPr>
          <w:lang w:eastAsia="en-AU"/>
        </w:rPr>
        <w:t xml:space="preserve">in the Code, noting it is better suited to use </w:t>
      </w:r>
      <w:r w:rsidR="00AC3B35">
        <w:rPr>
          <w:lang w:eastAsia="en-AU"/>
        </w:rPr>
        <w:t xml:space="preserve">on foods containing </w:t>
      </w:r>
      <w:r w:rsidR="00683853">
        <w:rPr>
          <w:lang w:eastAsia="en-AU"/>
        </w:rPr>
        <w:t xml:space="preserve">more complex dietary fibre mixtures from both </w:t>
      </w:r>
      <w:r w:rsidR="00AC3B35">
        <w:rPr>
          <w:lang w:eastAsia="en-AU"/>
        </w:rPr>
        <w:t>HMWDF and L</w:t>
      </w:r>
      <w:r w:rsidR="00D45BBE">
        <w:rPr>
          <w:lang w:eastAsia="en-AU"/>
        </w:rPr>
        <w:t>MW</w:t>
      </w:r>
      <w:r w:rsidR="00AC3B35">
        <w:rPr>
          <w:lang w:eastAsia="en-AU"/>
        </w:rPr>
        <w:t>DF</w:t>
      </w:r>
      <w:r>
        <w:rPr>
          <w:lang w:eastAsia="en-AU"/>
        </w:rPr>
        <w:t xml:space="preserve">, has advantages </w:t>
      </w:r>
      <w:r w:rsidR="001F412C">
        <w:rPr>
          <w:lang w:eastAsia="en-AU"/>
        </w:rPr>
        <w:t xml:space="preserve">that outweigh </w:t>
      </w:r>
      <w:r w:rsidR="00FF3713">
        <w:rPr>
          <w:lang w:eastAsia="en-AU"/>
        </w:rPr>
        <w:t xml:space="preserve">the actual impact of any potential </w:t>
      </w:r>
      <w:r w:rsidR="000B0723">
        <w:rPr>
          <w:lang w:eastAsia="en-AU"/>
        </w:rPr>
        <w:t xml:space="preserve">measurement </w:t>
      </w:r>
      <w:r>
        <w:rPr>
          <w:lang w:eastAsia="en-AU"/>
        </w:rPr>
        <w:t>of GOS</w:t>
      </w:r>
      <w:r w:rsidR="00380544">
        <w:rPr>
          <w:lang w:eastAsia="en-AU"/>
        </w:rPr>
        <w:t xml:space="preserve"> and IMO</w:t>
      </w:r>
      <w:r w:rsidR="005534F5">
        <w:rPr>
          <w:lang w:eastAsia="en-AU"/>
        </w:rPr>
        <w:t xml:space="preserve"> as dietary fibre</w:t>
      </w:r>
      <w:r w:rsidR="00B6696E">
        <w:rPr>
          <w:lang w:eastAsia="en-AU"/>
        </w:rPr>
        <w:t>s</w:t>
      </w:r>
      <w:r w:rsidR="006B14E9">
        <w:rPr>
          <w:lang w:eastAsia="en-AU"/>
        </w:rPr>
        <w:t>.</w:t>
      </w:r>
    </w:p>
    <w:p w14:paraId="50C12532" w14:textId="2878C6E4" w:rsidR="00D97BF7" w:rsidRPr="00DC113C" w:rsidRDefault="00D97BF7" w:rsidP="00DC113C">
      <w:pPr>
        <w:pStyle w:val="Heading5"/>
        <w:widowControl/>
        <w:rPr>
          <w:b/>
        </w:rPr>
      </w:pPr>
      <w:r w:rsidRPr="00DC113C">
        <w:rPr>
          <w:b/>
        </w:rPr>
        <w:t xml:space="preserve">Conclusion </w:t>
      </w:r>
    </w:p>
    <w:p w14:paraId="7A2F5568" w14:textId="341913BF" w:rsidR="007B0067" w:rsidRDefault="0080341F" w:rsidP="00683853">
      <w:pPr>
        <w:widowControl/>
        <w:spacing w:after="240"/>
        <w:rPr>
          <w:lang w:eastAsia="en-AU" w:bidi="ar-SA"/>
        </w:rPr>
      </w:pPr>
      <w:r>
        <w:rPr>
          <w:lang w:eastAsia="en-AU" w:bidi="ar-SA"/>
        </w:rPr>
        <w:t>O</w:t>
      </w:r>
      <w:r w:rsidR="00A26756">
        <w:rPr>
          <w:lang w:eastAsia="en-AU" w:bidi="ar-SA"/>
        </w:rPr>
        <w:t xml:space="preserve">ption </w:t>
      </w:r>
      <w:r w:rsidR="007B0067">
        <w:rPr>
          <w:lang w:eastAsia="en-AU" w:bidi="ar-SA"/>
        </w:rPr>
        <w:t xml:space="preserve">1 is not preferred </w:t>
      </w:r>
      <w:r w:rsidR="00DB6557">
        <w:rPr>
          <w:lang w:eastAsia="en-AU" w:bidi="ar-SA"/>
        </w:rPr>
        <w:t>and is considered</w:t>
      </w:r>
      <w:r w:rsidR="00EF49BE">
        <w:rPr>
          <w:lang w:eastAsia="en-AU" w:bidi="ar-SA"/>
        </w:rPr>
        <w:t xml:space="preserve"> a disproportionate response because</w:t>
      </w:r>
      <w:r w:rsidR="007B0067">
        <w:rPr>
          <w:lang w:eastAsia="en-AU" w:bidi="ar-SA"/>
        </w:rPr>
        <w:t>:</w:t>
      </w:r>
    </w:p>
    <w:p w14:paraId="1BFC9436" w14:textId="4C48B2CF" w:rsidR="00B43F63" w:rsidRDefault="00B43F63" w:rsidP="00B43F63">
      <w:pPr>
        <w:pStyle w:val="FSBullet1"/>
      </w:pPr>
      <w:r>
        <w:t xml:space="preserve">At present there is no single method of analysis that can comprehensively measure all low and high molecular weight dietary fibre. </w:t>
      </w:r>
      <w:r w:rsidRPr="00CE0260">
        <w:rPr>
          <w:lang w:eastAsia="en-AU"/>
        </w:rPr>
        <w:t xml:space="preserve">AOAC 2017.16 </w:t>
      </w:r>
      <w:r>
        <w:rPr>
          <w:lang w:eastAsia="en-AU"/>
        </w:rPr>
        <w:t>is the most comprehensive method FSANZ has assessed to date.</w:t>
      </w:r>
    </w:p>
    <w:p w14:paraId="04801CC7" w14:textId="4D279E81" w:rsidR="00175B56" w:rsidRDefault="00175B56" w:rsidP="00175B56">
      <w:pPr>
        <w:pStyle w:val="ListParagraph"/>
        <w:widowControl/>
        <w:numPr>
          <w:ilvl w:val="0"/>
          <w:numId w:val="38"/>
        </w:numPr>
        <w:ind w:left="567" w:hanging="567"/>
        <w:rPr>
          <w:lang w:eastAsia="en-AU" w:bidi="ar-SA"/>
        </w:rPr>
      </w:pPr>
      <w:r>
        <w:rPr>
          <w:lang w:eastAsia="en-AU"/>
        </w:rPr>
        <w:t xml:space="preserve">AOAC 2017.16, like all methods of analysis, has limitations such as over or underestimation of dietary fibre. FSANZ considers the actual impact of the potential overestimation </w:t>
      </w:r>
      <w:r w:rsidR="00380544">
        <w:rPr>
          <w:lang w:eastAsia="en-AU"/>
        </w:rPr>
        <w:t xml:space="preserve">of </w:t>
      </w:r>
      <w:r>
        <w:rPr>
          <w:lang w:eastAsia="en-AU"/>
        </w:rPr>
        <w:t>total dietary fibre values</w:t>
      </w:r>
      <w:r w:rsidR="00380544">
        <w:rPr>
          <w:lang w:eastAsia="en-AU"/>
        </w:rPr>
        <w:t xml:space="preserve"> in the small number of GOS-containing </w:t>
      </w:r>
      <w:r w:rsidR="00380544">
        <w:rPr>
          <w:lang w:eastAsia="en-AU"/>
        </w:rPr>
        <w:lastRenderedPageBreak/>
        <w:t>foods</w:t>
      </w:r>
      <w:r>
        <w:rPr>
          <w:lang w:eastAsia="en-AU"/>
        </w:rPr>
        <w:t xml:space="preserve"> measured with AOAC 2017.16 is acceptable because it is small.</w:t>
      </w:r>
      <w:r w:rsidR="00380544">
        <w:rPr>
          <w:lang w:eastAsia="en-AU"/>
        </w:rPr>
        <w:t xml:space="preserve"> The same applies for IMO.</w:t>
      </w:r>
    </w:p>
    <w:p w14:paraId="15D73BCE" w14:textId="265E2362" w:rsidR="00175B56" w:rsidRDefault="00175B56" w:rsidP="00175B56">
      <w:pPr>
        <w:pStyle w:val="ListParagraph"/>
        <w:widowControl/>
        <w:numPr>
          <w:ilvl w:val="0"/>
          <w:numId w:val="38"/>
        </w:numPr>
        <w:ind w:left="567" w:hanging="567"/>
        <w:rPr>
          <w:lang w:eastAsia="en-AU" w:bidi="ar-SA"/>
        </w:rPr>
      </w:pPr>
      <w:r>
        <w:rPr>
          <w:lang w:eastAsia="en-AU"/>
        </w:rPr>
        <w:t>T</w:t>
      </w:r>
      <w:r w:rsidR="002718A1">
        <w:rPr>
          <w:lang w:eastAsia="en-AU"/>
        </w:rPr>
        <w:t>his is a voluntary method that enables innovation by industry to measure total dietary fibre by a single more comprehensive method</w:t>
      </w:r>
      <w:r w:rsidR="004D6043">
        <w:rPr>
          <w:lang w:eastAsia="en-AU"/>
        </w:rPr>
        <w:t>.</w:t>
      </w:r>
      <w:r w:rsidR="002718A1" w:rsidDel="002718A1">
        <w:rPr>
          <w:lang w:eastAsia="en-AU" w:bidi="ar-SA"/>
        </w:rPr>
        <w:t xml:space="preserve"> </w:t>
      </w:r>
    </w:p>
    <w:p w14:paraId="5D4D55D4" w14:textId="697A0E10" w:rsidR="008D5DD7" w:rsidRDefault="00636888" w:rsidP="00936409">
      <w:pPr>
        <w:pStyle w:val="Heading4"/>
        <w:widowControl/>
      </w:pPr>
      <w:r>
        <w:t>O</w:t>
      </w:r>
      <w:r w:rsidR="008D5DD7" w:rsidRPr="008D5DD7">
        <w:t xml:space="preserve">ption </w:t>
      </w:r>
      <w:r w:rsidR="008D5DD7">
        <w:t>2</w:t>
      </w:r>
      <w:r w:rsidR="008D5DD7" w:rsidRPr="008D5DD7">
        <w:t xml:space="preserve"> </w:t>
      </w:r>
      <w:r w:rsidR="003B3A5D">
        <w:t>–</w:t>
      </w:r>
      <w:r w:rsidR="008D5DD7" w:rsidRPr="008D5DD7">
        <w:t xml:space="preserve"> </w:t>
      </w:r>
      <w:r w:rsidR="001A31D4" w:rsidRPr="001A31D4">
        <w:t xml:space="preserve">Permit AOAC 2017.16 as a dietary fibre method of analysis with restrictions against its use on foods containing </w:t>
      </w:r>
      <w:r>
        <w:t>galacto-oligosaccharides</w:t>
      </w:r>
      <w:r w:rsidR="007C7379">
        <w:t xml:space="preserve"> and/or isomalto-oligosaccharides</w:t>
      </w:r>
    </w:p>
    <w:p w14:paraId="1C30D101" w14:textId="04C2E132" w:rsidR="001D2111" w:rsidRPr="005858FE" w:rsidRDefault="000B3863" w:rsidP="005858FE">
      <w:pPr>
        <w:widowControl/>
        <w:spacing w:after="240"/>
        <w:rPr>
          <w:rFonts w:cs="Arial"/>
          <w:szCs w:val="22"/>
        </w:rPr>
      </w:pPr>
      <w:r>
        <w:rPr>
          <w:lang w:eastAsia="en-AU" w:bidi="ar-SA"/>
        </w:rPr>
        <w:t xml:space="preserve">In order to maintain consistency with the Code’s definition of dietary fibre, </w:t>
      </w:r>
      <w:r w:rsidR="00125255">
        <w:rPr>
          <w:lang w:eastAsia="en-AU" w:bidi="ar-SA"/>
        </w:rPr>
        <w:t xml:space="preserve">FSANZ </w:t>
      </w:r>
      <w:r w:rsidR="00C94E39">
        <w:rPr>
          <w:lang w:eastAsia="en-AU" w:bidi="ar-SA"/>
        </w:rPr>
        <w:t xml:space="preserve">considered </w:t>
      </w:r>
      <w:r w:rsidR="001438DE">
        <w:rPr>
          <w:lang w:eastAsia="en-AU" w:bidi="ar-SA"/>
        </w:rPr>
        <w:t>permitting AOAC 2017.16</w:t>
      </w:r>
      <w:r>
        <w:rPr>
          <w:lang w:eastAsia="en-AU" w:bidi="ar-SA"/>
        </w:rPr>
        <w:t xml:space="preserve"> </w:t>
      </w:r>
      <w:r w:rsidR="001438DE">
        <w:rPr>
          <w:lang w:eastAsia="en-AU" w:bidi="ar-SA"/>
        </w:rPr>
        <w:t xml:space="preserve">except </w:t>
      </w:r>
      <w:r w:rsidR="00636888">
        <w:rPr>
          <w:lang w:eastAsia="en-AU" w:bidi="ar-SA"/>
        </w:rPr>
        <w:t xml:space="preserve">on </w:t>
      </w:r>
      <w:r>
        <w:rPr>
          <w:lang w:eastAsia="en-AU" w:bidi="ar-SA"/>
        </w:rPr>
        <w:t>those</w:t>
      </w:r>
      <w:r w:rsidR="00636888">
        <w:rPr>
          <w:lang w:eastAsia="en-AU" w:bidi="ar-SA"/>
        </w:rPr>
        <w:t xml:space="preserve"> food products</w:t>
      </w:r>
      <w:r w:rsidR="00125255">
        <w:rPr>
          <w:lang w:eastAsia="en-AU" w:bidi="ar-SA"/>
        </w:rPr>
        <w:t xml:space="preserve"> </w:t>
      </w:r>
      <w:r>
        <w:rPr>
          <w:lang w:eastAsia="en-AU" w:bidi="ar-SA"/>
        </w:rPr>
        <w:t xml:space="preserve">containing </w:t>
      </w:r>
      <w:r w:rsidR="00EA125C">
        <w:rPr>
          <w:lang w:eastAsia="en-AU" w:bidi="ar-SA"/>
        </w:rPr>
        <w:t xml:space="preserve">naturally occurring </w:t>
      </w:r>
      <w:r>
        <w:rPr>
          <w:lang w:eastAsia="en-AU" w:bidi="ar-SA"/>
        </w:rPr>
        <w:t xml:space="preserve">or </w:t>
      </w:r>
      <w:r w:rsidR="00EA125C">
        <w:rPr>
          <w:lang w:eastAsia="en-AU" w:bidi="ar-SA"/>
        </w:rPr>
        <w:t>added</w:t>
      </w:r>
      <w:r w:rsidR="00C94E39">
        <w:rPr>
          <w:lang w:eastAsia="en-AU" w:bidi="ar-SA"/>
        </w:rPr>
        <w:t xml:space="preserve"> </w:t>
      </w:r>
      <w:r>
        <w:rPr>
          <w:lang w:eastAsia="en-AU" w:bidi="ar-SA"/>
        </w:rPr>
        <w:t xml:space="preserve">synthetic </w:t>
      </w:r>
      <w:r w:rsidR="00125255">
        <w:rPr>
          <w:lang w:eastAsia="en-AU" w:bidi="ar-SA"/>
        </w:rPr>
        <w:t>GOS</w:t>
      </w:r>
      <w:r w:rsidR="000213F3">
        <w:rPr>
          <w:lang w:eastAsia="en-AU" w:bidi="ar-SA"/>
        </w:rPr>
        <w:t xml:space="preserve"> and IMO</w:t>
      </w:r>
      <w:r w:rsidR="008B29DA">
        <w:rPr>
          <w:lang w:eastAsia="en-AU" w:bidi="ar-SA"/>
        </w:rPr>
        <w:t>.</w:t>
      </w:r>
      <w:r w:rsidR="000603F0" w:rsidRPr="000603F0">
        <w:rPr>
          <w:lang w:eastAsia="en-AU" w:bidi="ar-SA"/>
        </w:rPr>
        <w:t xml:space="preserve"> </w:t>
      </w:r>
      <w:r w:rsidR="0014588D">
        <w:t xml:space="preserve">FSANZ notes that if </w:t>
      </w:r>
      <w:r w:rsidR="00175B56">
        <w:t xml:space="preserve">this option were to proceed it would require </w:t>
      </w:r>
      <w:r w:rsidR="00395FF2">
        <w:t xml:space="preserve">an </w:t>
      </w:r>
      <w:r w:rsidR="00175B56">
        <w:t xml:space="preserve">impact assessment and consultation </w:t>
      </w:r>
      <w:r w:rsidR="00395FF2">
        <w:t>around</w:t>
      </w:r>
      <w:r w:rsidR="00175B56">
        <w:t xml:space="preserve"> imposing a similar restriction on the currently permitted method AOAC 2001.03</w:t>
      </w:r>
      <w:r w:rsidR="00395FF2">
        <w:t>,</w:t>
      </w:r>
      <w:r w:rsidR="00175B56">
        <w:t xml:space="preserve"> as</w:t>
      </w:r>
      <w:r w:rsidR="0014588D">
        <w:rPr>
          <w:lang w:eastAsia="en-AU" w:bidi="ar-SA"/>
        </w:rPr>
        <w:t xml:space="preserve"> </w:t>
      </w:r>
      <w:r w:rsidR="00B65A74">
        <w:rPr>
          <w:lang w:eastAsia="en-AU" w:bidi="ar-SA"/>
        </w:rPr>
        <w:t xml:space="preserve">manufacturers </w:t>
      </w:r>
      <w:r w:rsidR="00175B56">
        <w:rPr>
          <w:lang w:eastAsia="en-AU" w:bidi="ar-SA"/>
        </w:rPr>
        <w:t>may be</w:t>
      </w:r>
      <w:r w:rsidR="0014588D">
        <w:rPr>
          <w:lang w:eastAsia="en-AU" w:bidi="ar-SA"/>
        </w:rPr>
        <w:t xml:space="preserve"> </w:t>
      </w:r>
      <w:r w:rsidR="001F412C">
        <w:rPr>
          <w:lang w:eastAsia="en-AU" w:bidi="ar-SA"/>
        </w:rPr>
        <w:t xml:space="preserve">currently </w:t>
      </w:r>
      <w:r w:rsidR="0014588D">
        <w:rPr>
          <w:lang w:eastAsia="en-AU" w:bidi="ar-SA"/>
        </w:rPr>
        <w:t xml:space="preserve">using </w:t>
      </w:r>
      <w:r w:rsidR="00133091">
        <w:rPr>
          <w:lang w:eastAsia="en-AU" w:bidi="ar-SA"/>
        </w:rPr>
        <w:t>the</w:t>
      </w:r>
      <w:r w:rsidR="0014588D">
        <w:rPr>
          <w:lang w:eastAsia="en-AU" w:bidi="ar-SA"/>
        </w:rPr>
        <w:t xml:space="preserve"> method.</w:t>
      </w:r>
      <w:r w:rsidR="005858FE">
        <w:rPr>
          <w:lang w:eastAsia="en-AU" w:bidi="ar-SA"/>
        </w:rPr>
        <w:t xml:space="preserve"> </w:t>
      </w:r>
    </w:p>
    <w:p w14:paraId="3EFD064E" w14:textId="77777777" w:rsidR="005858FE" w:rsidRDefault="00EC7B7C" w:rsidP="00D55C19">
      <w:pPr>
        <w:spacing w:before="240"/>
      </w:pPr>
      <w:r w:rsidRPr="001D2111">
        <w:t>The proposed</w:t>
      </w:r>
      <w:r w:rsidR="000603F0" w:rsidRPr="001D2111">
        <w:t xml:space="preserve"> </w:t>
      </w:r>
      <w:r w:rsidR="002916B7" w:rsidRPr="001D2111">
        <w:t>restriction</w:t>
      </w:r>
      <w:r w:rsidR="000603F0" w:rsidRPr="001D2111">
        <w:t xml:space="preserve"> </w:t>
      </w:r>
      <w:r w:rsidR="00EA125C" w:rsidRPr="001D2111">
        <w:t xml:space="preserve">would extend to food products </w:t>
      </w:r>
      <w:r w:rsidR="002916B7" w:rsidRPr="001D2111">
        <w:t>with</w:t>
      </w:r>
      <w:r w:rsidR="00EA125C" w:rsidRPr="001D2111">
        <w:t xml:space="preserve"> </w:t>
      </w:r>
      <w:r w:rsidRPr="001D2111">
        <w:t xml:space="preserve">added GOS and </w:t>
      </w:r>
      <w:r w:rsidR="00EA125C" w:rsidRPr="001D2111">
        <w:t>any GOS</w:t>
      </w:r>
      <w:r w:rsidR="00680EAB" w:rsidRPr="001D2111">
        <w:t>-</w:t>
      </w:r>
      <w:r w:rsidR="00EA125C" w:rsidRPr="001D2111">
        <w:t>containing ingredient</w:t>
      </w:r>
      <w:r w:rsidR="00680EAB" w:rsidRPr="001D2111">
        <w:t>s</w:t>
      </w:r>
      <w:r w:rsidR="00EA125C" w:rsidRPr="001D2111">
        <w:t xml:space="preserve"> e</w:t>
      </w:r>
      <w:r w:rsidR="00B4783D" w:rsidRPr="001D2111">
        <w:t>.</w:t>
      </w:r>
      <w:r w:rsidR="00EA125C" w:rsidRPr="001D2111">
        <w:t>g</w:t>
      </w:r>
      <w:r w:rsidR="00B4783D" w:rsidRPr="001D2111">
        <w:t>.</w:t>
      </w:r>
      <w:r w:rsidR="00EA125C" w:rsidRPr="001D2111">
        <w:t xml:space="preserve"> wheat flour, milk</w:t>
      </w:r>
      <w:r w:rsidR="002916B7" w:rsidRPr="001D2111">
        <w:t>, legumes</w:t>
      </w:r>
      <w:r w:rsidR="005858FE">
        <w:t xml:space="preserve">, and IMO-containing products such as </w:t>
      </w:r>
      <w:r w:rsidR="005858FE" w:rsidRPr="00B4558F">
        <w:rPr>
          <w:lang w:eastAsia="en-AU" w:bidi="ar-SA"/>
        </w:rPr>
        <w:t>carbonated beverages, sports and energy drinks, soy drinks, milk-based drinks, milk-based and non-milk-based meal replacement drinks, fruit juices, fruit-flavoured drinks, meal replacement bars, breakfast bars and confection</w:t>
      </w:r>
      <w:r w:rsidR="005858FE">
        <w:rPr>
          <w:lang w:eastAsia="en-AU" w:bidi="ar-SA"/>
        </w:rPr>
        <w:t>e</w:t>
      </w:r>
      <w:r w:rsidR="005858FE" w:rsidRPr="00B4558F">
        <w:rPr>
          <w:lang w:eastAsia="en-AU" w:bidi="ar-SA"/>
        </w:rPr>
        <w:t>ry</w:t>
      </w:r>
      <w:r w:rsidR="005858FE">
        <w:rPr>
          <w:lang w:eastAsia="en-AU" w:bidi="ar-SA"/>
        </w:rPr>
        <w:t>.</w:t>
      </w:r>
      <w:r w:rsidR="00EA125C" w:rsidRPr="001D2111">
        <w:t xml:space="preserve"> </w:t>
      </w:r>
    </w:p>
    <w:p w14:paraId="322C11B9" w14:textId="5CC8FB38" w:rsidR="00D55C19" w:rsidRDefault="00EA125C" w:rsidP="00D55C19">
      <w:pPr>
        <w:spacing w:before="240"/>
      </w:pPr>
      <w:r w:rsidRPr="001D2111">
        <w:t xml:space="preserve">This would severely restrict the use of </w:t>
      </w:r>
      <w:r w:rsidR="00D55C19">
        <w:t>AOAC 2017.16</w:t>
      </w:r>
      <w:r w:rsidRPr="001D2111">
        <w:t xml:space="preserve"> on foods </w:t>
      </w:r>
      <w:r w:rsidR="00680EAB" w:rsidRPr="001D2111">
        <w:t xml:space="preserve">containing </w:t>
      </w:r>
      <w:r w:rsidR="009E6FBE" w:rsidRPr="001D2111">
        <w:t xml:space="preserve">certain </w:t>
      </w:r>
      <w:r w:rsidR="00680EAB" w:rsidRPr="001D2111">
        <w:t>LMWDF</w:t>
      </w:r>
      <w:r w:rsidR="00D55C19">
        <w:t xml:space="preserve">. </w:t>
      </w:r>
      <w:r w:rsidR="00C36B05" w:rsidRPr="001D2111">
        <w:t xml:space="preserve">Given these methods </w:t>
      </w:r>
      <w:r w:rsidR="009E6FBE" w:rsidRPr="001D2111">
        <w:t>cannot</w:t>
      </w:r>
      <w:r w:rsidR="00C36B05" w:rsidRPr="001D2111">
        <w:t xml:space="preserve"> separat</w:t>
      </w:r>
      <w:r w:rsidR="00680EAB" w:rsidRPr="001D2111">
        <w:t>e</w:t>
      </w:r>
      <w:r w:rsidR="001438DE" w:rsidRPr="001D2111">
        <w:t>ly identify</w:t>
      </w:r>
      <w:r w:rsidR="00680EAB" w:rsidRPr="001D2111">
        <w:t xml:space="preserve"> </w:t>
      </w:r>
      <w:r w:rsidR="00B65A74" w:rsidRPr="001D2111">
        <w:t xml:space="preserve">values for </w:t>
      </w:r>
      <w:r w:rsidR="00C36B05" w:rsidRPr="001D2111">
        <w:t>individual LMWDF</w:t>
      </w:r>
      <w:r w:rsidR="00D55C19">
        <w:rPr>
          <w:rStyle w:val="FootnoteReference"/>
        </w:rPr>
        <w:footnoteReference w:id="10"/>
      </w:r>
      <w:r w:rsidR="00680EAB" w:rsidRPr="001D2111">
        <w:t xml:space="preserve">, </w:t>
      </w:r>
      <w:r w:rsidR="00EC7B7C" w:rsidRPr="001D2111">
        <w:t>if the presence of GOS</w:t>
      </w:r>
      <w:r w:rsidR="005858FE">
        <w:t xml:space="preserve"> or IMO</w:t>
      </w:r>
      <w:r w:rsidR="00EC7B7C" w:rsidRPr="001D2111">
        <w:t xml:space="preserve"> was known or suspected</w:t>
      </w:r>
      <w:r w:rsidR="005A4A23" w:rsidRPr="001D2111">
        <w:t>,</w:t>
      </w:r>
      <w:r w:rsidR="00EC7B7C" w:rsidRPr="001D2111">
        <w:t xml:space="preserve"> </w:t>
      </w:r>
      <w:r w:rsidRPr="001D2111">
        <w:t xml:space="preserve">manufacturers </w:t>
      </w:r>
      <w:r w:rsidR="009E6FBE" w:rsidRPr="001D2111">
        <w:t xml:space="preserve">and analysts </w:t>
      </w:r>
      <w:r w:rsidR="00680EAB" w:rsidRPr="001D2111">
        <w:t xml:space="preserve">would be required </w:t>
      </w:r>
      <w:r w:rsidRPr="001D2111">
        <w:t xml:space="preserve">to </w:t>
      </w:r>
      <w:r w:rsidR="009E6FBE" w:rsidRPr="001D2111">
        <w:t>adopt</w:t>
      </w:r>
      <w:r w:rsidRPr="001D2111">
        <w:t xml:space="preserve"> the current</w:t>
      </w:r>
      <w:r w:rsidR="00EC7B7C" w:rsidRPr="001D2111">
        <w:t xml:space="preserve"> </w:t>
      </w:r>
      <w:r w:rsidR="009E6FBE" w:rsidRPr="001D2111">
        <w:t>system</w:t>
      </w:r>
      <w:r w:rsidRPr="001D2111">
        <w:t xml:space="preserve"> </w:t>
      </w:r>
      <w:r w:rsidR="001F412C" w:rsidRPr="001D2111">
        <w:t>of using multiple methods which is less comprehensive and efficient</w:t>
      </w:r>
      <w:r w:rsidR="00E346F8" w:rsidRPr="001D2111">
        <w:t>.</w:t>
      </w:r>
      <w:r w:rsidRPr="001D2111">
        <w:t xml:space="preserve"> </w:t>
      </w:r>
      <w:r w:rsidR="00D55C19">
        <w:t>Additionally, e</w:t>
      </w:r>
      <w:r w:rsidR="005E3CCC" w:rsidRPr="001D2111">
        <w:t>nforcement agencies</w:t>
      </w:r>
      <w:r w:rsidR="003B3A5D" w:rsidRPr="001D2111">
        <w:t xml:space="preserve"> would </w:t>
      </w:r>
      <w:r w:rsidR="00133091">
        <w:t>be required to enforce this</w:t>
      </w:r>
      <w:r w:rsidR="005858FE">
        <w:t xml:space="preserve"> by</w:t>
      </w:r>
      <w:r w:rsidR="00133091" w:rsidRPr="001D2111">
        <w:t xml:space="preserve"> monitor</w:t>
      </w:r>
      <w:r w:rsidR="005858FE">
        <w:t>ing</w:t>
      </w:r>
      <w:r w:rsidR="00133091" w:rsidRPr="001D2111">
        <w:t xml:space="preserve"> </w:t>
      </w:r>
      <w:r w:rsidR="005858FE">
        <w:t xml:space="preserve">specific </w:t>
      </w:r>
      <w:r w:rsidR="00133091" w:rsidRPr="001D2111">
        <w:t>analytical methods used</w:t>
      </w:r>
      <w:r w:rsidR="00133091">
        <w:t xml:space="preserve"> </w:t>
      </w:r>
      <w:r w:rsidR="005858FE">
        <w:t xml:space="preserve">for total dietary fibre, </w:t>
      </w:r>
      <w:r w:rsidR="00133091">
        <w:t xml:space="preserve">and </w:t>
      </w:r>
      <w:r w:rsidR="005858FE">
        <w:t xml:space="preserve">it would </w:t>
      </w:r>
      <w:r w:rsidR="003B3A5D" w:rsidRPr="001D2111">
        <w:t xml:space="preserve">require </w:t>
      </w:r>
      <w:r w:rsidR="00133091">
        <w:t>extensive</w:t>
      </w:r>
      <w:r w:rsidR="003B3A5D" w:rsidRPr="001D2111">
        <w:t xml:space="preserve"> knowledge of food composition</w:t>
      </w:r>
      <w:r w:rsidR="001D2111" w:rsidRPr="001D2111">
        <w:t>.</w:t>
      </w:r>
    </w:p>
    <w:p w14:paraId="4E1C0D1C" w14:textId="18231A21" w:rsidR="002537E7" w:rsidRDefault="00133091" w:rsidP="00D55C19">
      <w:pPr>
        <w:spacing w:before="240"/>
        <w:rPr>
          <w:lang w:bidi="ar-SA"/>
        </w:rPr>
      </w:pPr>
      <w:r>
        <w:rPr>
          <w:lang w:eastAsia="en-AU" w:bidi="ar-SA"/>
        </w:rPr>
        <w:t>FSANZ sought t</w:t>
      </w:r>
      <w:r w:rsidR="002537E7">
        <w:rPr>
          <w:lang w:eastAsia="en-AU" w:bidi="ar-SA"/>
        </w:rPr>
        <w:t xml:space="preserve">o quantify </w:t>
      </w:r>
      <w:r>
        <w:rPr>
          <w:lang w:eastAsia="en-AU" w:bidi="ar-SA"/>
        </w:rPr>
        <w:t>a potential overestimation</w:t>
      </w:r>
      <w:r w:rsidR="00013483">
        <w:rPr>
          <w:lang w:eastAsia="en-AU" w:bidi="ar-SA"/>
        </w:rPr>
        <w:t xml:space="preserve"> </w:t>
      </w:r>
      <w:r w:rsidR="000213F3">
        <w:rPr>
          <w:lang w:eastAsia="en-AU" w:bidi="ar-SA"/>
        </w:rPr>
        <w:t xml:space="preserve">of reported total fibre in </w:t>
      </w:r>
      <w:r w:rsidR="00013483">
        <w:rPr>
          <w:lang w:eastAsia="en-AU" w:bidi="ar-SA"/>
        </w:rPr>
        <w:t>foods containing GOS and analysed using AOAC 2017.16</w:t>
      </w:r>
      <w:r>
        <w:rPr>
          <w:lang w:eastAsia="en-AU" w:bidi="ar-SA"/>
        </w:rPr>
        <w:t>.</w:t>
      </w:r>
      <w:r w:rsidR="002537E7">
        <w:rPr>
          <w:lang w:eastAsia="en-AU" w:bidi="ar-SA"/>
        </w:rPr>
        <w:t xml:space="preserve"> FSANZ</w:t>
      </w:r>
      <w:r w:rsidR="00105F7C">
        <w:rPr>
          <w:lang w:eastAsia="en-AU" w:bidi="ar-SA"/>
        </w:rPr>
        <w:t xml:space="preserve">’s assessment </w:t>
      </w:r>
      <w:r>
        <w:rPr>
          <w:lang w:eastAsia="en-AU" w:bidi="ar-SA"/>
        </w:rPr>
        <w:t xml:space="preserve">of limited data </w:t>
      </w:r>
      <w:r w:rsidR="00105F7C">
        <w:rPr>
          <w:lang w:eastAsia="en-AU" w:bidi="ar-SA"/>
        </w:rPr>
        <w:t>on naturally occurring GOS in 32 plant foods and 6 dairy foods</w:t>
      </w:r>
      <w:r w:rsidR="002537E7">
        <w:rPr>
          <w:lang w:eastAsia="en-AU" w:bidi="ar-SA"/>
        </w:rPr>
        <w:t xml:space="preserve"> found that</w:t>
      </w:r>
      <w:r w:rsidR="002537E7">
        <w:rPr>
          <w:lang w:bidi="ar-SA"/>
        </w:rPr>
        <w:t xml:space="preserve"> GOS</w:t>
      </w:r>
      <w:r w:rsidR="00105F7C">
        <w:rPr>
          <w:lang w:bidi="ar-SA"/>
        </w:rPr>
        <w:t xml:space="preserve"> could </w:t>
      </w:r>
      <w:r>
        <w:rPr>
          <w:rFonts w:cs="Arial"/>
          <w:szCs w:val="22"/>
        </w:rPr>
        <w:t xml:space="preserve">increase naturally </w:t>
      </w:r>
      <w:r w:rsidR="002537E7">
        <w:rPr>
          <w:rFonts w:cs="Arial"/>
          <w:szCs w:val="22"/>
        </w:rPr>
        <w:t xml:space="preserve">occurring </w:t>
      </w:r>
      <w:r w:rsidR="00131BC3">
        <w:rPr>
          <w:rFonts w:cs="Arial"/>
          <w:szCs w:val="22"/>
        </w:rPr>
        <w:t>total</w:t>
      </w:r>
      <w:r w:rsidR="002537E7">
        <w:rPr>
          <w:rFonts w:cs="Arial"/>
          <w:szCs w:val="22"/>
        </w:rPr>
        <w:t xml:space="preserve"> dietary fibre </w:t>
      </w:r>
      <w:r w:rsidR="00105F7C">
        <w:rPr>
          <w:rFonts w:cs="Arial"/>
          <w:szCs w:val="22"/>
        </w:rPr>
        <w:t xml:space="preserve">values </w:t>
      </w:r>
      <w:r w:rsidR="002537E7">
        <w:rPr>
          <w:rFonts w:cs="Arial"/>
          <w:szCs w:val="22"/>
        </w:rPr>
        <w:t>in plant foods on average by 0.85 g/100</w:t>
      </w:r>
      <w:r w:rsidR="00EE1032">
        <w:rPr>
          <w:rFonts w:cs="Arial"/>
          <w:szCs w:val="22"/>
        </w:rPr>
        <w:t xml:space="preserve"> </w:t>
      </w:r>
      <w:r w:rsidR="002537E7">
        <w:rPr>
          <w:rFonts w:cs="Arial"/>
          <w:szCs w:val="22"/>
        </w:rPr>
        <w:t>g and up to 4 g/100 g</w:t>
      </w:r>
      <w:r>
        <w:rPr>
          <w:rFonts w:cs="Arial"/>
          <w:szCs w:val="22"/>
        </w:rPr>
        <w:t>;</w:t>
      </w:r>
      <w:r w:rsidR="00C1731C">
        <w:rPr>
          <w:rFonts w:cs="Arial"/>
          <w:szCs w:val="22"/>
        </w:rPr>
        <w:t xml:space="preserve"> </w:t>
      </w:r>
      <w:r w:rsidR="002537E7">
        <w:rPr>
          <w:rFonts w:cs="Arial"/>
          <w:szCs w:val="22"/>
        </w:rPr>
        <w:t>and in dairy products by up to 0.6 g/100 g</w:t>
      </w:r>
      <w:r w:rsidR="002537E7">
        <w:rPr>
          <w:lang w:bidi="ar-SA"/>
        </w:rPr>
        <w:t>.</w:t>
      </w:r>
      <w:r w:rsidR="001A31D4">
        <w:rPr>
          <w:lang w:bidi="ar-SA"/>
        </w:rPr>
        <w:t xml:space="preserve"> </w:t>
      </w:r>
      <w:r w:rsidR="001A31D4">
        <w:rPr>
          <w:rFonts w:cs="Arial"/>
          <w:szCs w:val="22"/>
        </w:rPr>
        <w:t xml:space="preserve">From </w:t>
      </w:r>
      <w:r>
        <w:rPr>
          <w:rFonts w:cs="Arial"/>
          <w:szCs w:val="22"/>
        </w:rPr>
        <w:t xml:space="preserve">further limited data, naturally </w:t>
      </w:r>
      <w:r w:rsidR="001A31D4">
        <w:rPr>
          <w:rFonts w:cs="Arial"/>
          <w:szCs w:val="22"/>
        </w:rPr>
        <w:t xml:space="preserve">occurring </w:t>
      </w:r>
      <w:r>
        <w:rPr>
          <w:lang w:bidi="ar-SA"/>
        </w:rPr>
        <w:t>GOS appeared</w:t>
      </w:r>
      <w:r w:rsidR="001A31D4">
        <w:rPr>
          <w:lang w:bidi="ar-SA"/>
        </w:rPr>
        <w:t xml:space="preserve"> to contribute </w:t>
      </w:r>
      <w:r w:rsidR="004D6043">
        <w:rPr>
          <w:lang w:bidi="ar-SA"/>
        </w:rPr>
        <w:t>about 3-</w:t>
      </w:r>
      <w:r w:rsidR="001A31D4" w:rsidRPr="00467B54">
        <w:rPr>
          <w:lang w:bidi="ar-SA"/>
        </w:rPr>
        <w:t xml:space="preserve">6% of </w:t>
      </w:r>
      <w:r w:rsidR="00131BC3">
        <w:rPr>
          <w:lang w:bidi="ar-SA"/>
        </w:rPr>
        <w:t>total</w:t>
      </w:r>
      <w:r w:rsidR="001A31D4" w:rsidRPr="00467B54">
        <w:rPr>
          <w:lang w:bidi="ar-SA"/>
        </w:rPr>
        <w:t xml:space="preserve"> dietary fibre </w:t>
      </w:r>
      <w:r w:rsidR="001A31D4">
        <w:rPr>
          <w:lang w:bidi="ar-SA"/>
        </w:rPr>
        <w:t xml:space="preserve">in GOS-containing foods </w:t>
      </w:r>
      <w:r w:rsidR="001A31D4" w:rsidRPr="00467B54">
        <w:rPr>
          <w:lang w:bidi="ar-SA"/>
        </w:rPr>
        <w:t>measured by AOAC</w:t>
      </w:r>
      <w:r w:rsidR="001A31D4">
        <w:rPr>
          <w:lang w:bidi="ar-SA"/>
        </w:rPr>
        <w:t xml:space="preserve"> 2017.16.</w:t>
      </w:r>
      <w:r w:rsidR="005858FE">
        <w:rPr>
          <w:lang w:bidi="ar-SA"/>
        </w:rPr>
        <w:t xml:space="preserve"> FSANZ</w:t>
      </w:r>
      <w:r w:rsidR="000213F3">
        <w:rPr>
          <w:lang w:bidi="ar-SA"/>
        </w:rPr>
        <w:t>’</w:t>
      </w:r>
      <w:r w:rsidR="005858FE">
        <w:rPr>
          <w:lang w:bidi="ar-SA"/>
        </w:rPr>
        <w:t xml:space="preserve">s limited assessment on IMO suggested that IMO are </w:t>
      </w:r>
      <w:r w:rsidR="000213F3">
        <w:rPr>
          <w:lang w:bidi="ar-SA"/>
        </w:rPr>
        <w:t>even less</w:t>
      </w:r>
      <w:r w:rsidR="005858FE">
        <w:rPr>
          <w:lang w:bidi="ar-SA"/>
        </w:rPr>
        <w:t xml:space="preserve"> prevalent in the Australia</w:t>
      </w:r>
      <w:r w:rsidR="000213F3">
        <w:rPr>
          <w:lang w:bidi="ar-SA"/>
        </w:rPr>
        <w:t>n and</w:t>
      </w:r>
      <w:r w:rsidR="005858FE">
        <w:rPr>
          <w:lang w:bidi="ar-SA"/>
        </w:rPr>
        <w:t xml:space="preserve"> New Zealand food supply than GOS.</w:t>
      </w:r>
    </w:p>
    <w:p w14:paraId="7DB334A8" w14:textId="77777777" w:rsidR="00AC4A08" w:rsidRDefault="00AC4A08" w:rsidP="001D2111">
      <w:pPr>
        <w:rPr>
          <w:lang w:bidi="ar-SA"/>
        </w:rPr>
      </w:pPr>
    </w:p>
    <w:p w14:paraId="23ED114F" w14:textId="6AEE93E2" w:rsidR="00156E47" w:rsidRDefault="005E3CCC" w:rsidP="00156E47">
      <w:pPr>
        <w:widowControl/>
        <w:spacing w:after="240"/>
        <w:rPr>
          <w:lang w:eastAsia="en-AU" w:bidi="ar-SA"/>
        </w:rPr>
      </w:pPr>
      <w:r>
        <w:rPr>
          <w:lang w:eastAsia="en-AU" w:bidi="ar-SA"/>
        </w:rPr>
        <w:t xml:space="preserve">FSANZ </w:t>
      </w:r>
      <w:r w:rsidR="00680EAB">
        <w:rPr>
          <w:lang w:eastAsia="en-AU" w:bidi="ar-SA"/>
        </w:rPr>
        <w:t>also</w:t>
      </w:r>
      <w:r>
        <w:rPr>
          <w:lang w:eastAsia="en-AU" w:bidi="ar-SA"/>
        </w:rPr>
        <w:t xml:space="preserve"> considered </w:t>
      </w:r>
      <w:r w:rsidR="002B67E2">
        <w:rPr>
          <w:lang w:eastAsia="en-AU" w:bidi="ar-SA"/>
        </w:rPr>
        <w:t>prohibiting</w:t>
      </w:r>
      <w:r>
        <w:rPr>
          <w:lang w:eastAsia="en-AU" w:bidi="ar-SA"/>
        </w:rPr>
        <w:t xml:space="preserve"> </w:t>
      </w:r>
      <w:r w:rsidR="00845C15">
        <w:rPr>
          <w:lang w:eastAsia="en-AU" w:bidi="ar-SA"/>
        </w:rPr>
        <w:t xml:space="preserve">the use of </w:t>
      </w:r>
      <w:r>
        <w:rPr>
          <w:lang w:eastAsia="en-AU" w:bidi="ar-SA"/>
        </w:rPr>
        <w:t xml:space="preserve">AOAC 2017.16 </w:t>
      </w:r>
      <w:r w:rsidR="00845C15">
        <w:rPr>
          <w:lang w:eastAsia="en-AU" w:bidi="ar-SA"/>
        </w:rPr>
        <w:t>on</w:t>
      </w:r>
      <w:r>
        <w:rPr>
          <w:lang w:eastAsia="en-AU" w:bidi="ar-SA"/>
        </w:rPr>
        <w:t xml:space="preserve"> foods that </w:t>
      </w:r>
      <w:r w:rsidR="00C36B05">
        <w:rPr>
          <w:lang w:eastAsia="en-AU" w:bidi="ar-SA"/>
        </w:rPr>
        <w:t>contained</w:t>
      </w:r>
      <w:r>
        <w:rPr>
          <w:lang w:eastAsia="en-AU" w:bidi="ar-SA"/>
        </w:rPr>
        <w:t xml:space="preserve"> </w:t>
      </w:r>
      <w:r w:rsidRPr="00156E47">
        <w:t>added</w:t>
      </w:r>
      <w:r>
        <w:rPr>
          <w:lang w:eastAsia="en-AU" w:bidi="ar-SA"/>
        </w:rPr>
        <w:t xml:space="preserve"> </w:t>
      </w:r>
      <w:r w:rsidR="00156E47">
        <w:rPr>
          <w:lang w:eastAsia="en-AU" w:bidi="ar-SA"/>
        </w:rPr>
        <w:t xml:space="preserve">synthetic </w:t>
      </w:r>
      <w:r>
        <w:rPr>
          <w:lang w:eastAsia="en-AU" w:bidi="ar-SA"/>
        </w:rPr>
        <w:t>GOS</w:t>
      </w:r>
      <w:r w:rsidR="00845C15">
        <w:rPr>
          <w:lang w:eastAsia="en-AU" w:bidi="ar-SA"/>
        </w:rPr>
        <w:t xml:space="preserve"> only</w:t>
      </w:r>
      <w:r>
        <w:rPr>
          <w:lang w:eastAsia="en-AU" w:bidi="ar-SA"/>
        </w:rPr>
        <w:t>. Based on the findings in Section 4.4</w:t>
      </w:r>
      <w:r w:rsidR="00D00547">
        <w:rPr>
          <w:lang w:eastAsia="en-AU" w:bidi="ar-SA"/>
        </w:rPr>
        <w:t xml:space="preserve"> of SD1</w:t>
      </w:r>
      <w:r>
        <w:rPr>
          <w:lang w:eastAsia="en-AU" w:bidi="ar-SA"/>
        </w:rPr>
        <w:t xml:space="preserve">, synthetic GOS is added to </w:t>
      </w:r>
      <w:r w:rsidR="00B4783D">
        <w:rPr>
          <w:lang w:eastAsia="en-AU" w:bidi="ar-SA"/>
        </w:rPr>
        <w:t xml:space="preserve">only </w:t>
      </w:r>
      <w:r>
        <w:rPr>
          <w:lang w:eastAsia="en-AU" w:bidi="ar-SA"/>
        </w:rPr>
        <w:t xml:space="preserve">a few </w:t>
      </w:r>
      <w:r w:rsidR="00C36B05">
        <w:rPr>
          <w:lang w:eastAsia="en-AU" w:bidi="ar-SA"/>
        </w:rPr>
        <w:t>general purpose</w:t>
      </w:r>
      <w:r>
        <w:rPr>
          <w:lang w:eastAsia="en-AU" w:bidi="ar-SA"/>
        </w:rPr>
        <w:t xml:space="preserve"> foods </w:t>
      </w:r>
      <w:r w:rsidR="00845C15">
        <w:rPr>
          <w:lang w:eastAsia="en-AU" w:bidi="ar-SA"/>
        </w:rPr>
        <w:t xml:space="preserve">made </w:t>
      </w:r>
      <w:r>
        <w:rPr>
          <w:lang w:eastAsia="en-AU" w:bidi="ar-SA"/>
        </w:rPr>
        <w:t xml:space="preserve">in Australia and no </w:t>
      </w:r>
      <w:r w:rsidR="00C36B05">
        <w:rPr>
          <w:lang w:eastAsia="en-AU" w:bidi="ar-SA"/>
        </w:rPr>
        <w:t>general purpose</w:t>
      </w:r>
      <w:r>
        <w:rPr>
          <w:lang w:eastAsia="en-AU" w:bidi="ar-SA"/>
        </w:rPr>
        <w:t xml:space="preserve"> foods</w:t>
      </w:r>
      <w:r w:rsidR="00B4783D">
        <w:rPr>
          <w:lang w:eastAsia="en-AU" w:bidi="ar-SA"/>
        </w:rPr>
        <w:t xml:space="preserve"> made</w:t>
      </w:r>
      <w:r>
        <w:rPr>
          <w:lang w:eastAsia="en-AU" w:bidi="ar-SA"/>
        </w:rPr>
        <w:t xml:space="preserve"> in New Zealand. </w:t>
      </w:r>
      <w:r w:rsidRPr="00845C15">
        <w:t>F</w:t>
      </w:r>
      <w:r w:rsidR="00D55C19">
        <w:t xml:space="preserve">SANZ </w:t>
      </w:r>
      <w:r w:rsidR="00304B7F">
        <w:t>sighted few</w:t>
      </w:r>
      <w:r w:rsidRPr="00845C15">
        <w:t xml:space="preserve"> products containing added GOS</w:t>
      </w:r>
      <w:r w:rsidR="00AC4A08">
        <w:t xml:space="preserve">, however those observed </w:t>
      </w:r>
      <w:r w:rsidR="00845C15" w:rsidRPr="00845C15">
        <w:t>list</w:t>
      </w:r>
      <w:r w:rsidR="00AC4A08">
        <w:t>ed</w:t>
      </w:r>
      <w:r w:rsidR="00845C15" w:rsidRPr="00845C15">
        <w:t xml:space="preserve"> ‘galacto-oligosaccharide’</w:t>
      </w:r>
      <w:r w:rsidR="00304B7F">
        <w:t xml:space="preserve"> </w:t>
      </w:r>
      <w:r w:rsidR="00AC4A08">
        <w:t>itself on the NIP</w:t>
      </w:r>
      <w:r w:rsidR="00156E47">
        <w:t>,</w:t>
      </w:r>
      <w:r w:rsidR="00304B7F">
        <w:t xml:space="preserve"> rather than</w:t>
      </w:r>
      <w:r w:rsidR="00AE5DD8">
        <w:t xml:space="preserve"> as</w:t>
      </w:r>
      <w:r w:rsidR="00304B7F">
        <w:t xml:space="preserve"> </w:t>
      </w:r>
      <w:r w:rsidR="00304B7F" w:rsidRPr="00304B7F">
        <w:t>‘</w:t>
      </w:r>
      <w:r w:rsidR="00845C15" w:rsidRPr="00304B7F">
        <w:t>dietary fibre</w:t>
      </w:r>
      <w:r w:rsidR="00304B7F" w:rsidRPr="00304B7F">
        <w:t>’</w:t>
      </w:r>
      <w:r w:rsidRPr="00304B7F">
        <w:t>.</w:t>
      </w:r>
      <w:r w:rsidR="00AC4A08" w:rsidRPr="00304B7F">
        <w:t xml:space="preserve"> FSANZ </w:t>
      </w:r>
      <w:r w:rsidR="00304B7F" w:rsidRPr="00304B7F">
        <w:t xml:space="preserve">also </w:t>
      </w:r>
      <w:r w:rsidR="00AC4A08" w:rsidRPr="00304B7F">
        <w:t>consider</w:t>
      </w:r>
      <w:r w:rsidR="00031451">
        <w:t>ed</w:t>
      </w:r>
      <w:r w:rsidR="00AC4A08" w:rsidRPr="00304B7F">
        <w:t xml:space="preserve"> the use of GOS in special purpose foods </w:t>
      </w:r>
      <w:r w:rsidR="00304B7F" w:rsidRPr="00304B7F">
        <w:t xml:space="preserve">to be </w:t>
      </w:r>
      <w:r w:rsidR="00AC4A08" w:rsidRPr="00304B7F">
        <w:t xml:space="preserve">out of scope for </w:t>
      </w:r>
      <w:r w:rsidR="00E273EE">
        <w:rPr>
          <w:lang w:bidi="ar-SA"/>
        </w:rPr>
        <w:t xml:space="preserve">this application </w:t>
      </w:r>
      <w:r w:rsidR="00AC4A08" w:rsidRPr="00304B7F">
        <w:t>A1178, as separate permissions have been granted in previous applications.</w:t>
      </w:r>
      <w:r w:rsidR="005858FE">
        <w:t xml:space="preserve"> FSANZ notes IMO</w:t>
      </w:r>
      <w:r w:rsidR="00B74339">
        <w:t>, like GOS,</w:t>
      </w:r>
      <w:r w:rsidR="005858FE">
        <w:t xml:space="preserve"> are intended for use is some foods</w:t>
      </w:r>
      <w:r w:rsidR="00B74339">
        <w:t xml:space="preserve"> at pre-quantified levels and FSANZ’s assessment of AOAC 2017.16 indicate</w:t>
      </w:r>
      <w:r w:rsidR="00031451">
        <w:t>d</w:t>
      </w:r>
      <w:r w:rsidR="00B74339">
        <w:t xml:space="preserve"> </w:t>
      </w:r>
      <w:r w:rsidR="00031451">
        <w:t>this method would not be appropriate for use on</w:t>
      </w:r>
      <w:r w:rsidR="00B74339">
        <w:t xml:space="preserve"> most of these products.</w:t>
      </w:r>
    </w:p>
    <w:p w14:paraId="2BFDCB8C" w14:textId="5357D77E" w:rsidR="00C034F4" w:rsidRDefault="00B4783D" w:rsidP="008878FD">
      <w:pPr>
        <w:widowControl/>
        <w:rPr>
          <w:lang w:eastAsia="en-AU" w:bidi="ar-SA"/>
        </w:rPr>
      </w:pPr>
      <w:r>
        <w:lastRenderedPageBreak/>
        <w:t xml:space="preserve">FSANZ </w:t>
      </w:r>
      <w:r>
        <w:rPr>
          <w:lang w:eastAsia="en-AU"/>
        </w:rPr>
        <w:t>acknowledges</w:t>
      </w:r>
      <w:r w:rsidR="005E3CCC">
        <w:rPr>
          <w:lang w:eastAsia="en-AU"/>
        </w:rPr>
        <w:t xml:space="preserve"> that</w:t>
      </w:r>
      <w:r w:rsidR="00B1060F">
        <w:rPr>
          <w:lang w:eastAsia="en-AU"/>
        </w:rPr>
        <w:t xml:space="preserve"> </w:t>
      </w:r>
      <w:r w:rsidR="005E3CCC">
        <w:rPr>
          <w:lang w:eastAsia="en-AU"/>
        </w:rPr>
        <w:t>GOS</w:t>
      </w:r>
      <w:r w:rsidR="006B1089">
        <w:rPr>
          <w:lang w:eastAsia="en-AU"/>
        </w:rPr>
        <w:t xml:space="preserve"> and IMO</w:t>
      </w:r>
      <w:r w:rsidR="005E3CCC">
        <w:rPr>
          <w:lang w:eastAsia="en-AU"/>
        </w:rPr>
        <w:t xml:space="preserve"> </w:t>
      </w:r>
      <w:r w:rsidR="00C034F4">
        <w:rPr>
          <w:lang w:eastAsia="en-AU"/>
        </w:rPr>
        <w:t>are</w:t>
      </w:r>
      <w:r w:rsidR="005E3CCC">
        <w:rPr>
          <w:lang w:eastAsia="en-AU"/>
        </w:rPr>
        <w:t xml:space="preserve"> </w:t>
      </w:r>
      <w:r>
        <w:rPr>
          <w:lang w:eastAsia="en-AU"/>
        </w:rPr>
        <w:t xml:space="preserve">more commonly </w:t>
      </w:r>
      <w:r w:rsidR="00B1060F">
        <w:rPr>
          <w:lang w:eastAsia="en-AU"/>
        </w:rPr>
        <w:t xml:space="preserve">added </w:t>
      </w:r>
      <w:r w:rsidR="005E3CCC">
        <w:rPr>
          <w:lang w:eastAsia="en-AU"/>
        </w:rPr>
        <w:t xml:space="preserve">to </w:t>
      </w:r>
      <w:r>
        <w:rPr>
          <w:lang w:eastAsia="en-AU"/>
        </w:rPr>
        <w:t xml:space="preserve">foods </w:t>
      </w:r>
      <w:r w:rsidR="006B1089">
        <w:rPr>
          <w:lang w:eastAsia="en-AU"/>
        </w:rPr>
        <w:t>in other countries</w:t>
      </w:r>
      <w:r w:rsidR="008D759B">
        <w:t xml:space="preserve"> and </w:t>
      </w:r>
      <w:r w:rsidR="00D42B4E">
        <w:t xml:space="preserve">some of these may be </w:t>
      </w:r>
      <w:r>
        <w:rPr>
          <w:lang w:eastAsia="en-AU"/>
        </w:rPr>
        <w:t>imported into</w:t>
      </w:r>
      <w:r w:rsidR="008D759B">
        <w:rPr>
          <w:lang w:eastAsia="en-AU" w:bidi="ar-SA"/>
        </w:rPr>
        <w:t xml:space="preserve"> Australia </w:t>
      </w:r>
      <w:r w:rsidR="002B67E2">
        <w:rPr>
          <w:lang w:eastAsia="en-AU" w:bidi="ar-SA"/>
        </w:rPr>
        <w:t xml:space="preserve">and </w:t>
      </w:r>
      <w:r w:rsidR="008D759B">
        <w:rPr>
          <w:lang w:eastAsia="en-AU" w:bidi="ar-SA"/>
        </w:rPr>
        <w:t>New Zealand</w:t>
      </w:r>
      <w:r w:rsidR="00C034F4">
        <w:rPr>
          <w:lang w:eastAsia="en-AU" w:bidi="ar-SA"/>
        </w:rPr>
        <w:t xml:space="preserve">. </w:t>
      </w:r>
      <w:r w:rsidR="001930F3">
        <w:rPr>
          <w:lang w:eastAsia="en-AU" w:bidi="ar-SA"/>
        </w:rPr>
        <w:t>That country must comply with labelling requirements for dietary fibre set out in the Code (including permitted methods of analysis), meaning some foods from overseas my contribute to any potential overestimate in total dietary fibre from GOS and IMO however FSANZ does not consider this will considerably impact consumers ability to make informed choices on foods around dietary fibre.</w:t>
      </w:r>
    </w:p>
    <w:p w14:paraId="7E7B1D47" w14:textId="4428E756" w:rsidR="00D97BF7" w:rsidRPr="002A23E5" w:rsidRDefault="00D97BF7" w:rsidP="002A23E5">
      <w:pPr>
        <w:pStyle w:val="Heading5"/>
        <w:widowControl/>
        <w:rPr>
          <w:b/>
        </w:rPr>
      </w:pPr>
      <w:r w:rsidRPr="002A23E5">
        <w:rPr>
          <w:b/>
        </w:rPr>
        <w:t>Conclusion</w:t>
      </w:r>
    </w:p>
    <w:p w14:paraId="4E487A14" w14:textId="66BA5FD5" w:rsidR="00D97BF7" w:rsidRDefault="00387804" w:rsidP="005925B4">
      <w:pPr>
        <w:widowControl/>
        <w:spacing w:after="240"/>
        <w:rPr>
          <w:lang w:eastAsia="en-AU" w:bidi="ar-SA"/>
        </w:rPr>
      </w:pPr>
      <w:r>
        <w:rPr>
          <w:lang w:eastAsia="en-AU" w:bidi="ar-SA"/>
        </w:rPr>
        <w:t xml:space="preserve">Option 2 </w:t>
      </w:r>
      <w:r w:rsidR="004C35F1">
        <w:rPr>
          <w:lang w:eastAsia="en-AU" w:bidi="ar-SA"/>
        </w:rPr>
        <w:t xml:space="preserve">is not preferred and </w:t>
      </w:r>
      <w:r w:rsidR="00AC4A08">
        <w:rPr>
          <w:lang w:eastAsia="en-AU" w:bidi="ar-SA"/>
        </w:rPr>
        <w:t>is considered</w:t>
      </w:r>
      <w:r w:rsidR="00795DA1">
        <w:rPr>
          <w:lang w:eastAsia="en-AU" w:bidi="ar-SA"/>
        </w:rPr>
        <w:t xml:space="preserve"> </w:t>
      </w:r>
      <w:r>
        <w:rPr>
          <w:lang w:eastAsia="en-AU" w:bidi="ar-SA"/>
        </w:rPr>
        <w:t xml:space="preserve">disproportionate </w:t>
      </w:r>
      <w:r w:rsidR="00172F26">
        <w:rPr>
          <w:lang w:eastAsia="en-AU" w:bidi="ar-SA"/>
        </w:rPr>
        <w:t>because</w:t>
      </w:r>
      <w:r w:rsidR="00156E47">
        <w:rPr>
          <w:lang w:eastAsia="en-AU" w:bidi="ar-SA"/>
        </w:rPr>
        <w:t>:</w:t>
      </w:r>
    </w:p>
    <w:p w14:paraId="4A04D75E" w14:textId="3336586E" w:rsidR="006B1089" w:rsidRDefault="00B43F63" w:rsidP="006B1089">
      <w:pPr>
        <w:pStyle w:val="FSBullet1"/>
        <w:numPr>
          <w:ilvl w:val="0"/>
          <w:numId w:val="74"/>
        </w:numPr>
        <w:rPr>
          <w:lang w:eastAsia="en-AU"/>
        </w:rPr>
      </w:pPr>
      <w:r>
        <w:rPr>
          <w:lang w:eastAsia="en-AU"/>
        </w:rPr>
        <w:t xml:space="preserve">The potential overestimate of about 3-6% total dietary fibre for GOS-containing foods measured using AOAC 2017.16 is at least proportionate to the current underestimate of total dietary fibre from the measurement of FOS and total </w:t>
      </w:r>
      <w:r w:rsidR="009A207E">
        <w:rPr>
          <w:lang w:eastAsia="en-AU"/>
        </w:rPr>
        <w:t>f</w:t>
      </w:r>
      <w:r>
        <w:rPr>
          <w:lang w:eastAsia="en-AU"/>
        </w:rPr>
        <w:t>ructans by older, less comprehensive methods in t</w:t>
      </w:r>
      <w:r w:rsidR="006B1089">
        <w:rPr>
          <w:lang w:eastAsia="en-AU"/>
        </w:rPr>
        <w:t>he Code AOAC 985.29 and 991.43.</w:t>
      </w:r>
    </w:p>
    <w:p w14:paraId="72EF42EA" w14:textId="5CD5C029" w:rsidR="006B1089" w:rsidRPr="006B1089" w:rsidRDefault="006B1089" w:rsidP="006B1089">
      <w:pPr>
        <w:pStyle w:val="ListParagraph"/>
        <w:numPr>
          <w:ilvl w:val="0"/>
          <w:numId w:val="74"/>
        </w:numPr>
        <w:rPr>
          <w:lang w:eastAsia="en-AU" w:bidi="ar-SA"/>
        </w:rPr>
      </w:pPr>
      <w:r>
        <w:rPr>
          <w:lang w:eastAsia="en-AU" w:bidi="ar-SA"/>
        </w:rPr>
        <w:t>FSANZ has not identified any reason to treat IMO any differently with relation to AOAC 2017.16.</w:t>
      </w:r>
    </w:p>
    <w:p w14:paraId="07350060" w14:textId="0243C691" w:rsidR="00D97BF7" w:rsidRDefault="00EE0247" w:rsidP="00542857">
      <w:pPr>
        <w:pStyle w:val="FSBullet1"/>
        <w:numPr>
          <w:ilvl w:val="0"/>
          <w:numId w:val="74"/>
        </w:numPr>
        <w:rPr>
          <w:lang w:eastAsia="en-AU"/>
        </w:rPr>
      </w:pPr>
      <w:r>
        <w:rPr>
          <w:lang w:eastAsia="en-AU"/>
        </w:rPr>
        <w:t xml:space="preserve">General </w:t>
      </w:r>
      <w:r w:rsidR="003029C4">
        <w:rPr>
          <w:lang w:eastAsia="en-AU"/>
        </w:rPr>
        <w:t xml:space="preserve">purpose </w:t>
      </w:r>
      <w:r w:rsidR="004C35F1">
        <w:rPr>
          <w:lang w:eastAsia="en-AU"/>
        </w:rPr>
        <w:t xml:space="preserve">foods </w:t>
      </w:r>
      <w:r w:rsidR="00554F16">
        <w:rPr>
          <w:lang w:eastAsia="en-AU"/>
        </w:rPr>
        <w:t xml:space="preserve">identified </w:t>
      </w:r>
      <w:r w:rsidR="003F771C">
        <w:rPr>
          <w:lang w:eastAsia="en-AU"/>
        </w:rPr>
        <w:t xml:space="preserve">by FSANZ </w:t>
      </w:r>
      <w:r w:rsidR="00554F16">
        <w:rPr>
          <w:lang w:eastAsia="en-AU"/>
        </w:rPr>
        <w:t xml:space="preserve">as </w:t>
      </w:r>
      <w:r w:rsidR="004C35F1">
        <w:rPr>
          <w:lang w:eastAsia="en-AU"/>
        </w:rPr>
        <w:t xml:space="preserve">containing added GOS </w:t>
      </w:r>
      <w:r w:rsidR="005D7356">
        <w:rPr>
          <w:lang w:eastAsia="en-AU"/>
        </w:rPr>
        <w:t>declar</w:t>
      </w:r>
      <w:r w:rsidR="003029C4">
        <w:rPr>
          <w:lang w:eastAsia="en-AU"/>
        </w:rPr>
        <w:t>e</w:t>
      </w:r>
      <w:r w:rsidR="005D7356">
        <w:rPr>
          <w:lang w:eastAsia="en-AU"/>
        </w:rPr>
        <w:t xml:space="preserve"> GOS</w:t>
      </w:r>
      <w:r w:rsidR="0080341F">
        <w:rPr>
          <w:lang w:eastAsia="en-AU"/>
        </w:rPr>
        <w:t xml:space="preserve"> as itself</w:t>
      </w:r>
      <w:r w:rsidR="005D7356">
        <w:rPr>
          <w:lang w:eastAsia="en-AU"/>
        </w:rPr>
        <w:t xml:space="preserve"> in the NIP</w:t>
      </w:r>
      <w:r w:rsidR="0080341F">
        <w:rPr>
          <w:lang w:eastAsia="en-AU"/>
        </w:rPr>
        <w:t>,</w:t>
      </w:r>
      <w:r w:rsidR="005D7356">
        <w:rPr>
          <w:lang w:eastAsia="en-AU"/>
        </w:rPr>
        <w:t xml:space="preserve"> </w:t>
      </w:r>
      <w:r w:rsidR="001364DC">
        <w:rPr>
          <w:lang w:eastAsia="en-AU"/>
        </w:rPr>
        <w:t>rather than</w:t>
      </w:r>
      <w:r w:rsidR="00D97BF7">
        <w:rPr>
          <w:lang w:eastAsia="en-AU"/>
        </w:rPr>
        <w:t xml:space="preserve"> dietary fibre</w:t>
      </w:r>
      <w:r w:rsidR="001804C3">
        <w:rPr>
          <w:lang w:eastAsia="en-AU"/>
        </w:rPr>
        <w:t>.</w:t>
      </w:r>
    </w:p>
    <w:p w14:paraId="38B629DB" w14:textId="0D464D91" w:rsidR="0080341F" w:rsidRDefault="0080341F" w:rsidP="00542857">
      <w:pPr>
        <w:pStyle w:val="FSBullet1"/>
        <w:numPr>
          <w:ilvl w:val="0"/>
          <w:numId w:val="74"/>
        </w:numPr>
        <w:rPr>
          <w:lang w:eastAsia="en-AU"/>
        </w:rPr>
      </w:pPr>
      <w:r>
        <w:rPr>
          <w:lang w:eastAsia="en-AU"/>
        </w:rPr>
        <w:t>AOAC 2017.16 has advantages for foods containing a mixture of HMWDF and LMWDF</w:t>
      </w:r>
      <w:r w:rsidR="00817B91">
        <w:rPr>
          <w:lang w:eastAsia="en-AU"/>
        </w:rPr>
        <w:t xml:space="preserve"> -</w:t>
      </w:r>
      <w:r>
        <w:rPr>
          <w:lang w:eastAsia="en-AU"/>
        </w:rPr>
        <w:t xml:space="preserve"> implementing </w:t>
      </w:r>
      <w:r w:rsidR="00AE5DD8">
        <w:rPr>
          <w:lang w:eastAsia="en-AU"/>
        </w:rPr>
        <w:t>a restriction of the method</w:t>
      </w:r>
      <w:r>
        <w:rPr>
          <w:lang w:eastAsia="en-AU"/>
        </w:rPr>
        <w:t xml:space="preserve"> on such complex food matrices is unrealistic</w:t>
      </w:r>
      <w:r w:rsidR="00AE5DD8">
        <w:rPr>
          <w:lang w:eastAsia="en-AU"/>
        </w:rPr>
        <w:t xml:space="preserve"> and disproportionate to the level of potential overestimation.</w:t>
      </w:r>
    </w:p>
    <w:p w14:paraId="70012C8E" w14:textId="2AFE4DB1" w:rsidR="00AC4A08" w:rsidRPr="00AC4A08" w:rsidRDefault="00EE0247" w:rsidP="00AC4A08">
      <w:pPr>
        <w:pStyle w:val="FSBullet1"/>
        <w:numPr>
          <w:ilvl w:val="0"/>
          <w:numId w:val="74"/>
        </w:numPr>
        <w:rPr>
          <w:lang w:eastAsia="en-AU"/>
        </w:rPr>
      </w:pPr>
      <w:r>
        <w:rPr>
          <w:lang w:eastAsia="en-AU"/>
        </w:rPr>
        <w:t xml:space="preserve">This </w:t>
      </w:r>
      <w:r w:rsidR="00156E47">
        <w:rPr>
          <w:lang w:eastAsia="en-AU"/>
        </w:rPr>
        <w:t xml:space="preserve">option </w:t>
      </w:r>
      <w:r w:rsidR="00D97BF7">
        <w:rPr>
          <w:lang w:eastAsia="en-AU"/>
        </w:rPr>
        <w:t>would</w:t>
      </w:r>
      <w:r w:rsidR="00B43F63">
        <w:rPr>
          <w:lang w:eastAsia="en-AU"/>
        </w:rPr>
        <w:t xml:space="preserve"> adversely</w:t>
      </w:r>
      <w:r w:rsidR="00D97BF7">
        <w:rPr>
          <w:lang w:eastAsia="en-AU"/>
        </w:rPr>
        <w:t xml:space="preserve"> </w:t>
      </w:r>
      <w:r w:rsidR="004D6043">
        <w:rPr>
          <w:lang w:eastAsia="en-AU"/>
        </w:rPr>
        <w:t xml:space="preserve">impact </w:t>
      </w:r>
      <w:r w:rsidR="00FB5CD7">
        <w:rPr>
          <w:lang w:eastAsia="en-AU"/>
        </w:rPr>
        <w:t>industry</w:t>
      </w:r>
      <w:r w:rsidR="00EF3A21">
        <w:rPr>
          <w:lang w:eastAsia="en-AU"/>
        </w:rPr>
        <w:t xml:space="preserve"> </w:t>
      </w:r>
      <w:r w:rsidR="00D97BF7">
        <w:rPr>
          <w:lang w:eastAsia="en-AU"/>
        </w:rPr>
        <w:t>and enforcement agencies</w:t>
      </w:r>
      <w:r w:rsidR="005E3CCC">
        <w:rPr>
          <w:lang w:eastAsia="en-AU"/>
        </w:rPr>
        <w:t xml:space="preserve"> </w:t>
      </w:r>
      <w:r w:rsidR="00760A12">
        <w:rPr>
          <w:lang w:eastAsia="en-AU"/>
        </w:rPr>
        <w:t xml:space="preserve">as it requires prior knowledge of GOS </w:t>
      </w:r>
      <w:r w:rsidR="00D91DD6">
        <w:rPr>
          <w:lang w:eastAsia="en-AU"/>
        </w:rPr>
        <w:t xml:space="preserve">and IMO </w:t>
      </w:r>
      <w:r w:rsidR="00760A12">
        <w:rPr>
          <w:lang w:eastAsia="en-AU"/>
        </w:rPr>
        <w:t>content</w:t>
      </w:r>
      <w:r w:rsidR="009A207E">
        <w:rPr>
          <w:lang w:eastAsia="en-AU"/>
        </w:rPr>
        <w:t>,</w:t>
      </w:r>
      <w:r w:rsidR="002A23E5">
        <w:rPr>
          <w:lang w:eastAsia="en-AU"/>
        </w:rPr>
        <w:t xml:space="preserve"> </w:t>
      </w:r>
      <w:r w:rsidR="001364DC">
        <w:rPr>
          <w:lang w:eastAsia="en-AU"/>
        </w:rPr>
        <w:t>and</w:t>
      </w:r>
      <w:r w:rsidR="002A23E5">
        <w:rPr>
          <w:lang w:eastAsia="en-AU"/>
        </w:rPr>
        <w:t xml:space="preserve"> methods of analysis used</w:t>
      </w:r>
      <w:r w:rsidR="001364DC">
        <w:rPr>
          <w:lang w:eastAsia="en-AU"/>
        </w:rPr>
        <w:t xml:space="preserve"> on each </w:t>
      </w:r>
      <w:r w:rsidR="00156E47">
        <w:rPr>
          <w:lang w:eastAsia="en-AU"/>
        </w:rPr>
        <w:t xml:space="preserve">food </w:t>
      </w:r>
      <w:r w:rsidR="001364DC">
        <w:rPr>
          <w:lang w:eastAsia="en-AU"/>
        </w:rPr>
        <w:t>product</w:t>
      </w:r>
      <w:r w:rsidR="00EC7165">
        <w:rPr>
          <w:lang w:eastAsia="en-AU"/>
        </w:rPr>
        <w:t xml:space="preserve">. </w:t>
      </w:r>
      <w:r w:rsidR="00AE5DD8">
        <w:rPr>
          <w:lang w:eastAsia="en-AU"/>
        </w:rPr>
        <w:t xml:space="preserve">It is unlikely consumers would be able to make </w:t>
      </w:r>
      <w:r w:rsidR="009A207E">
        <w:rPr>
          <w:lang w:eastAsia="en-AU"/>
        </w:rPr>
        <w:t xml:space="preserve">a more </w:t>
      </w:r>
      <w:r w:rsidR="00AE5DD8">
        <w:rPr>
          <w:lang w:eastAsia="en-AU"/>
        </w:rPr>
        <w:t>informed choice with this restriction.</w:t>
      </w:r>
    </w:p>
    <w:p w14:paraId="1BFC7E14" w14:textId="40002A75" w:rsidR="000F5ED9" w:rsidRPr="00172F26" w:rsidRDefault="00F9284C" w:rsidP="00172F26">
      <w:pPr>
        <w:pStyle w:val="Heading4"/>
      </w:pPr>
      <w:r>
        <w:t>O</w:t>
      </w:r>
      <w:r w:rsidR="009A31F3" w:rsidRPr="00172F26">
        <w:t xml:space="preserve">ption </w:t>
      </w:r>
      <w:r w:rsidR="008D5DD7" w:rsidRPr="00172F26">
        <w:t>3</w:t>
      </w:r>
      <w:r w:rsidR="009A31F3" w:rsidRPr="00172F26">
        <w:t xml:space="preserve"> - </w:t>
      </w:r>
      <w:r w:rsidR="001A31D4" w:rsidRPr="00172F26">
        <w:t>Permit AOAC 2017.16 as a method of analysis for dietary fibre, without restrictions</w:t>
      </w:r>
    </w:p>
    <w:p w14:paraId="3324C3DD" w14:textId="14B2E4B3" w:rsidR="00387804" w:rsidRDefault="00F20AFD" w:rsidP="0020696D">
      <w:pPr>
        <w:widowControl/>
        <w:rPr>
          <w:lang w:bidi="ar-SA"/>
        </w:rPr>
      </w:pPr>
      <w:r>
        <w:rPr>
          <w:lang w:bidi="ar-SA"/>
        </w:rPr>
        <w:t>This</w:t>
      </w:r>
      <w:r w:rsidR="00D97BF7">
        <w:rPr>
          <w:lang w:bidi="ar-SA"/>
        </w:rPr>
        <w:t xml:space="preserve"> option </w:t>
      </w:r>
      <w:r w:rsidR="000D60FB">
        <w:rPr>
          <w:lang w:bidi="ar-SA"/>
        </w:rPr>
        <w:t xml:space="preserve">provides </w:t>
      </w:r>
      <w:r w:rsidR="00760A12">
        <w:rPr>
          <w:lang w:bidi="ar-SA"/>
        </w:rPr>
        <w:t>a new permission for</w:t>
      </w:r>
      <w:r w:rsidR="00D97BF7">
        <w:rPr>
          <w:lang w:bidi="ar-SA"/>
        </w:rPr>
        <w:t xml:space="preserve"> </w:t>
      </w:r>
      <w:r w:rsidR="004F59D0">
        <w:rPr>
          <w:lang w:bidi="ar-SA"/>
        </w:rPr>
        <w:t>AOAC 2017.16</w:t>
      </w:r>
      <w:r w:rsidR="00AE5DD8">
        <w:rPr>
          <w:lang w:bidi="ar-SA"/>
        </w:rPr>
        <w:t xml:space="preserve">, which is the most </w:t>
      </w:r>
      <w:r w:rsidR="00C81934">
        <w:rPr>
          <w:lang w:bidi="ar-SA"/>
        </w:rPr>
        <w:t>comprehensive</w:t>
      </w:r>
      <w:r w:rsidR="009740E9">
        <w:rPr>
          <w:lang w:bidi="ar-SA"/>
        </w:rPr>
        <w:t xml:space="preserve"> </w:t>
      </w:r>
      <w:r w:rsidR="00AE5DD8">
        <w:rPr>
          <w:lang w:bidi="ar-SA"/>
        </w:rPr>
        <w:t xml:space="preserve">method for total dietary fibre </w:t>
      </w:r>
      <w:r w:rsidR="00F9284C">
        <w:rPr>
          <w:lang w:bidi="ar-SA"/>
        </w:rPr>
        <w:t xml:space="preserve">currently </w:t>
      </w:r>
      <w:r w:rsidR="00AE5DD8">
        <w:rPr>
          <w:lang w:bidi="ar-SA"/>
        </w:rPr>
        <w:t xml:space="preserve">available, when compared to </w:t>
      </w:r>
      <w:r w:rsidR="00F9284C">
        <w:rPr>
          <w:lang w:bidi="ar-SA"/>
        </w:rPr>
        <w:t>permitted total dietary fibre methods of analysis (</w:t>
      </w:r>
      <w:r w:rsidR="009740E9">
        <w:rPr>
          <w:lang w:bidi="ar-SA"/>
        </w:rPr>
        <w:t xml:space="preserve">AOAC </w:t>
      </w:r>
      <w:r w:rsidR="00F9284C">
        <w:rPr>
          <w:lang w:bidi="ar-SA"/>
        </w:rPr>
        <w:t xml:space="preserve">985.29, 991.43 and </w:t>
      </w:r>
      <w:r w:rsidR="009740E9">
        <w:rPr>
          <w:lang w:bidi="ar-SA"/>
        </w:rPr>
        <w:t>2001.03</w:t>
      </w:r>
      <w:r w:rsidR="00F9284C">
        <w:rPr>
          <w:lang w:bidi="ar-SA"/>
        </w:rPr>
        <w:t>)</w:t>
      </w:r>
      <w:r w:rsidR="00AE2A64">
        <w:rPr>
          <w:lang w:bidi="ar-SA"/>
        </w:rPr>
        <w:t>, and its predecessor AOAC 2009.01</w:t>
      </w:r>
      <w:r w:rsidR="00AE5DD8">
        <w:rPr>
          <w:lang w:bidi="ar-SA"/>
        </w:rPr>
        <w:t xml:space="preserve">. AOAC 201.16 </w:t>
      </w:r>
      <w:r w:rsidR="00722637">
        <w:rPr>
          <w:lang w:bidi="ar-SA"/>
        </w:rPr>
        <w:t xml:space="preserve">is </w:t>
      </w:r>
      <w:r w:rsidR="00722637" w:rsidRPr="00B3397E">
        <w:rPr>
          <w:lang w:bidi="ar-SA"/>
        </w:rPr>
        <w:t>cost effective</w:t>
      </w:r>
      <w:r w:rsidR="00722637">
        <w:rPr>
          <w:lang w:bidi="ar-SA"/>
        </w:rPr>
        <w:t xml:space="preserve"> </w:t>
      </w:r>
      <w:r w:rsidR="004302DC">
        <w:rPr>
          <w:lang w:bidi="ar-SA"/>
        </w:rPr>
        <w:t xml:space="preserve">for foods </w:t>
      </w:r>
      <w:r w:rsidR="00760A12">
        <w:rPr>
          <w:lang w:bidi="ar-SA"/>
        </w:rPr>
        <w:t>containing</w:t>
      </w:r>
      <w:r w:rsidR="00B3397E">
        <w:rPr>
          <w:lang w:bidi="ar-SA"/>
        </w:rPr>
        <w:t xml:space="preserve"> both</w:t>
      </w:r>
      <w:r w:rsidR="00760A12">
        <w:rPr>
          <w:lang w:bidi="ar-SA"/>
        </w:rPr>
        <w:t xml:space="preserve"> </w:t>
      </w:r>
      <w:r w:rsidR="00B3397E" w:rsidRPr="00B3397E">
        <w:rPr>
          <w:lang w:bidi="ar-SA"/>
        </w:rPr>
        <w:t>HMWDF and</w:t>
      </w:r>
      <w:r w:rsidR="00760A12" w:rsidRPr="00B3397E">
        <w:rPr>
          <w:lang w:bidi="ar-SA"/>
        </w:rPr>
        <w:t xml:space="preserve"> </w:t>
      </w:r>
      <w:r w:rsidR="00760A12">
        <w:rPr>
          <w:lang w:bidi="ar-SA"/>
        </w:rPr>
        <w:t xml:space="preserve">LMWDF </w:t>
      </w:r>
      <w:r w:rsidR="00722637">
        <w:rPr>
          <w:lang w:bidi="ar-SA"/>
        </w:rPr>
        <w:t xml:space="preserve">compared </w:t>
      </w:r>
      <w:r w:rsidR="00B3397E">
        <w:rPr>
          <w:lang w:bidi="ar-SA"/>
        </w:rPr>
        <w:t>to</w:t>
      </w:r>
      <w:r w:rsidR="00722637">
        <w:rPr>
          <w:lang w:bidi="ar-SA"/>
        </w:rPr>
        <w:t xml:space="preserve"> </w:t>
      </w:r>
      <w:r w:rsidR="00B3397E">
        <w:rPr>
          <w:lang w:bidi="ar-SA"/>
        </w:rPr>
        <w:t xml:space="preserve">the </w:t>
      </w:r>
      <w:r w:rsidR="000D60FB">
        <w:rPr>
          <w:lang w:bidi="ar-SA"/>
        </w:rPr>
        <w:t>use of</w:t>
      </w:r>
      <w:r w:rsidR="00B3397E">
        <w:rPr>
          <w:lang w:bidi="ar-SA"/>
        </w:rPr>
        <w:t xml:space="preserve"> older </w:t>
      </w:r>
      <w:r w:rsidR="00131BC3">
        <w:rPr>
          <w:lang w:bidi="ar-SA"/>
        </w:rPr>
        <w:t>total</w:t>
      </w:r>
      <w:r w:rsidR="00B3397E">
        <w:rPr>
          <w:lang w:bidi="ar-SA"/>
        </w:rPr>
        <w:t xml:space="preserve"> dietary fibre methods </w:t>
      </w:r>
      <w:r w:rsidR="00BF5743">
        <w:rPr>
          <w:lang w:bidi="ar-SA"/>
        </w:rPr>
        <w:t xml:space="preserve">(when used </w:t>
      </w:r>
      <w:r w:rsidR="00B3397E">
        <w:rPr>
          <w:lang w:bidi="ar-SA"/>
        </w:rPr>
        <w:t xml:space="preserve">with additional specific dietary fibre </w:t>
      </w:r>
      <w:r w:rsidR="00722637">
        <w:rPr>
          <w:lang w:bidi="ar-SA"/>
        </w:rPr>
        <w:t xml:space="preserve">methods </w:t>
      </w:r>
      <w:r w:rsidR="00B3397E">
        <w:rPr>
          <w:lang w:bidi="ar-SA"/>
        </w:rPr>
        <w:t>for the</w:t>
      </w:r>
      <w:r w:rsidR="00722637">
        <w:rPr>
          <w:lang w:bidi="ar-SA"/>
        </w:rPr>
        <w:t xml:space="preserve"> LMWDF </w:t>
      </w:r>
      <w:r w:rsidR="00760A12">
        <w:rPr>
          <w:lang w:bidi="ar-SA"/>
        </w:rPr>
        <w:t>fraction</w:t>
      </w:r>
      <w:r w:rsidR="00BF5743">
        <w:rPr>
          <w:lang w:bidi="ar-SA"/>
        </w:rPr>
        <w:t>)</w:t>
      </w:r>
      <w:r w:rsidR="00817B91">
        <w:rPr>
          <w:lang w:bidi="ar-SA"/>
        </w:rPr>
        <w:t>.</w:t>
      </w:r>
      <w:r w:rsidR="00760A12">
        <w:rPr>
          <w:lang w:bidi="ar-SA"/>
        </w:rPr>
        <w:t xml:space="preserve"> </w:t>
      </w:r>
      <w:r w:rsidR="00817B91">
        <w:rPr>
          <w:lang w:bidi="ar-SA"/>
        </w:rPr>
        <w:t>I</w:t>
      </w:r>
      <w:r w:rsidR="00B3397E">
        <w:rPr>
          <w:lang w:bidi="ar-SA"/>
        </w:rPr>
        <w:t xml:space="preserve">t </w:t>
      </w:r>
      <w:r w:rsidR="006010EF">
        <w:rPr>
          <w:lang w:bidi="ar-SA"/>
        </w:rPr>
        <w:t xml:space="preserve">also </w:t>
      </w:r>
      <w:r w:rsidR="00B3397E">
        <w:rPr>
          <w:lang w:bidi="ar-SA"/>
        </w:rPr>
        <w:t>removes</w:t>
      </w:r>
      <w:r w:rsidR="00722637">
        <w:rPr>
          <w:lang w:bidi="ar-SA"/>
        </w:rPr>
        <w:t xml:space="preserve"> the </w:t>
      </w:r>
      <w:r w:rsidR="00D053C6">
        <w:rPr>
          <w:lang w:bidi="ar-SA"/>
        </w:rPr>
        <w:t>issue of</w:t>
      </w:r>
      <w:r w:rsidR="006010EF">
        <w:rPr>
          <w:lang w:bidi="ar-SA"/>
        </w:rPr>
        <w:t xml:space="preserve"> double counting</w:t>
      </w:r>
      <w:r w:rsidR="00D053C6">
        <w:rPr>
          <w:lang w:bidi="ar-SA"/>
        </w:rPr>
        <w:t xml:space="preserve"> when using multiple methods</w:t>
      </w:r>
      <w:r w:rsidR="006010EF">
        <w:rPr>
          <w:lang w:bidi="ar-SA"/>
        </w:rPr>
        <w:t xml:space="preserve">. </w:t>
      </w:r>
    </w:p>
    <w:p w14:paraId="381ED2F0" w14:textId="77777777" w:rsidR="00387804" w:rsidRDefault="00387804" w:rsidP="0020696D">
      <w:pPr>
        <w:widowControl/>
        <w:rPr>
          <w:lang w:bidi="ar-SA"/>
        </w:rPr>
      </w:pPr>
    </w:p>
    <w:p w14:paraId="23738E7B" w14:textId="683E4F27" w:rsidR="00000DF0" w:rsidRDefault="006010EF" w:rsidP="00387804">
      <w:pPr>
        <w:widowControl/>
        <w:rPr>
          <w:lang w:bidi="ar-SA"/>
        </w:rPr>
      </w:pPr>
      <w:r>
        <w:rPr>
          <w:lang w:bidi="ar-SA"/>
        </w:rPr>
        <w:t xml:space="preserve">This option </w:t>
      </w:r>
      <w:r w:rsidR="003F771C">
        <w:t>would allow industry to use AOAC 2017.16 without any restriction related to food containing GOS</w:t>
      </w:r>
      <w:r w:rsidR="00AE2A64">
        <w:t xml:space="preserve"> or IMO</w:t>
      </w:r>
      <w:r w:rsidR="003F771C">
        <w:t xml:space="preserve">, as is currently the case with AOAC 2001.03. </w:t>
      </w:r>
      <w:r w:rsidR="00156E47">
        <w:rPr>
          <w:lang w:bidi="ar-SA"/>
        </w:rPr>
        <w:t>Unlike</w:t>
      </w:r>
      <w:r w:rsidR="009740E9">
        <w:rPr>
          <w:lang w:bidi="ar-SA"/>
        </w:rPr>
        <w:t xml:space="preserve"> </w:t>
      </w:r>
      <w:r w:rsidR="00817B91">
        <w:rPr>
          <w:lang w:bidi="ar-SA"/>
        </w:rPr>
        <w:t xml:space="preserve">Option </w:t>
      </w:r>
      <w:r w:rsidR="009740E9">
        <w:rPr>
          <w:lang w:bidi="ar-SA"/>
        </w:rPr>
        <w:t>2, e</w:t>
      </w:r>
      <w:r w:rsidR="008F28E7">
        <w:rPr>
          <w:lang w:bidi="ar-SA"/>
        </w:rPr>
        <w:t xml:space="preserve">nforcement agencies will not </w:t>
      </w:r>
      <w:r w:rsidR="009740E9">
        <w:rPr>
          <w:lang w:bidi="ar-SA"/>
        </w:rPr>
        <w:t>need to monitor foods for GOS</w:t>
      </w:r>
      <w:r w:rsidR="00AE2A64">
        <w:rPr>
          <w:lang w:bidi="ar-SA"/>
        </w:rPr>
        <w:t xml:space="preserve"> and IMO</w:t>
      </w:r>
      <w:r w:rsidR="009740E9">
        <w:rPr>
          <w:lang w:bidi="ar-SA"/>
        </w:rPr>
        <w:t xml:space="preserve"> content and methods</w:t>
      </w:r>
      <w:r w:rsidR="00156E47">
        <w:rPr>
          <w:lang w:bidi="ar-SA"/>
        </w:rPr>
        <w:t xml:space="preserve"> of analysis</w:t>
      </w:r>
      <w:r w:rsidR="009740E9">
        <w:rPr>
          <w:lang w:bidi="ar-SA"/>
        </w:rPr>
        <w:t xml:space="preserve"> used on </w:t>
      </w:r>
      <w:r w:rsidR="00133091">
        <w:rPr>
          <w:lang w:bidi="ar-SA"/>
        </w:rPr>
        <w:t>these food products</w:t>
      </w:r>
      <w:r w:rsidR="00387804">
        <w:rPr>
          <w:lang w:bidi="ar-SA"/>
        </w:rPr>
        <w:t>.</w:t>
      </w:r>
      <w:r w:rsidR="00AE5DD8">
        <w:rPr>
          <w:lang w:bidi="ar-SA"/>
        </w:rPr>
        <w:t xml:space="preserve"> Consumers will still be provided with enough information to make informed choices around dietary fibre values in food.</w:t>
      </w:r>
    </w:p>
    <w:p w14:paraId="1DBBEC7A" w14:textId="77777777" w:rsidR="008F28E7" w:rsidRDefault="008F28E7" w:rsidP="00387804">
      <w:pPr>
        <w:widowControl/>
        <w:rPr>
          <w:lang w:bidi="ar-SA"/>
        </w:rPr>
      </w:pPr>
    </w:p>
    <w:p w14:paraId="6356298F" w14:textId="192CFB98" w:rsidR="000D60FB" w:rsidRDefault="00FE6005" w:rsidP="00E338D7">
      <w:pPr>
        <w:widowControl/>
        <w:rPr>
          <w:lang w:eastAsia="en-AU" w:bidi="ar-SA"/>
        </w:rPr>
      </w:pPr>
      <w:r>
        <w:rPr>
          <w:lang w:eastAsia="en-AU" w:bidi="ar-SA"/>
        </w:rPr>
        <w:t>FSANZ</w:t>
      </w:r>
      <w:r w:rsidR="00722637">
        <w:rPr>
          <w:lang w:eastAsia="en-AU" w:bidi="ar-SA"/>
        </w:rPr>
        <w:t xml:space="preserve"> </w:t>
      </w:r>
      <w:r w:rsidR="00156E47">
        <w:rPr>
          <w:lang w:eastAsia="en-AU" w:bidi="ar-SA"/>
        </w:rPr>
        <w:t>is</w:t>
      </w:r>
      <w:r w:rsidR="00BF5743">
        <w:rPr>
          <w:lang w:eastAsia="en-AU" w:bidi="ar-SA"/>
        </w:rPr>
        <w:t xml:space="preserve"> not aware of</w:t>
      </w:r>
      <w:r w:rsidR="00722637">
        <w:rPr>
          <w:lang w:eastAsia="en-AU" w:bidi="ar-SA"/>
        </w:rPr>
        <w:t xml:space="preserve"> </w:t>
      </w:r>
      <w:r>
        <w:rPr>
          <w:lang w:eastAsia="en-AU" w:bidi="ar-SA"/>
        </w:rPr>
        <w:t xml:space="preserve">regulatory authorities </w:t>
      </w:r>
      <w:r w:rsidR="00D053C6">
        <w:rPr>
          <w:lang w:eastAsia="en-AU" w:bidi="ar-SA"/>
        </w:rPr>
        <w:t>in other countries</w:t>
      </w:r>
      <w:r w:rsidR="00BF5743">
        <w:rPr>
          <w:lang w:eastAsia="en-AU" w:bidi="ar-SA"/>
        </w:rPr>
        <w:t xml:space="preserve"> who </w:t>
      </w:r>
      <w:r w:rsidR="00156E47">
        <w:rPr>
          <w:lang w:eastAsia="en-AU" w:bidi="ar-SA"/>
        </w:rPr>
        <w:t>have assessed</w:t>
      </w:r>
      <w:r w:rsidR="00722637">
        <w:rPr>
          <w:lang w:eastAsia="en-AU" w:bidi="ar-SA"/>
        </w:rPr>
        <w:t xml:space="preserve"> AOAC 2017.16</w:t>
      </w:r>
      <w:r>
        <w:rPr>
          <w:lang w:eastAsia="en-AU" w:bidi="ar-SA"/>
        </w:rPr>
        <w:t xml:space="preserve"> as a method of an</w:t>
      </w:r>
      <w:r w:rsidR="00BF5743">
        <w:rPr>
          <w:lang w:eastAsia="en-AU" w:bidi="ar-SA"/>
        </w:rPr>
        <w:t>alysis</w:t>
      </w:r>
      <w:r w:rsidR="00DC0C7A">
        <w:rPr>
          <w:lang w:eastAsia="en-AU" w:bidi="ar-SA"/>
        </w:rPr>
        <w:t>, however the method’s predecessor AOAC 2009.01 is currently accepted by Codex and other countries</w:t>
      </w:r>
      <w:r w:rsidR="00D053C6">
        <w:rPr>
          <w:lang w:eastAsia="en-AU" w:bidi="ar-SA"/>
        </w:rPr>
        <w:t xml:space="preserve">. </w:t>
      </w:r>
      <w:r w:rsidR="00BF5743">
        <w:rPr>
          <w:lang w:eastAsia="en-AU" w:bidi="ar-SA"/>
        </w:rPr>
        <w:t>I</w:t>
      </w:r>
      <w:r w:rsidR="00722637">
        <w:rPr>
          <w:lang w:eastAsia="en-AU" w:bidi="ar-SA"/>
        </w:rPr>
        <w:t xml:space="preserve">t has recently been approved as </w:t>
      </w:r>
      <w:r w:rsidR="00D053C6">
        <w:rPr>
          <w:lang w:eastAsia="en-AU" w:bidi="ar-SA"/>
        </w:rPr>
        <w:t>‘</w:t>
      </w:r>
      <w:r w:rsidR="00722637">
        <w:rPr>
          <w:lang w:eastAsia="en-AU" w:bidi="ar-SA"/>
        </w:rPr>
        <w:t>final action</w:t>
      </w:r>
      <w:r w:rsidR="00D053C6">
        <w:rPr>
          <w:lang w:eastAsia="en-AU" w:bidi="ar-SA"/>
        </w:rPr>
        <w:t>’</w:t>
      </w:r>
      <w:r w:rsidR="00722637">
        <w:rPr>
          <w:lang w:eastAsia="en-AU" w:bidi="ar-SA"/>
        </w:rPr>
        <w:t xml:space="preserve"> by </w:t>
      </w:r>
      <w:r w:rsidR="00D769BF">
        <w:rPr>
          <w:lang w:eastAsia="en-AU" w:bidi="ar-SA"/>
        </w:rPr>
        <w:t xml:space="preserve">the </w:t>
      </w:r>
      <w:r w:rsidR="00722637">
        <w:rPr>
          <w:lang w:eastAsia="en-AU" w:bidi="ar-SA"/>
        </w:rPr>
        <w:t xml:space="preserve">AOAC </w:t>
      </w:r>
      <w:r w:rsidR="00D769BF">
        <w:rPr>
          <w:lang w:eastAsia="en-AU" w:bidi="ar-SA"/>
        </w:rPr>
        <w:t xml:space="preserve">International </w:t>
      </w:r>
      <w:r w:rsidR="00D053C6">
        <w:rPr>
          <w:lang w:eastAsia="en-AU" w:bidi="ar-SA"/>
        </w:rPr>
        <w:t xml:space="preserve">(meaning it is validated and has support of an expert panel) </w:t>
      </w:r>
      <w:r w:rsidR="00722637">
        <w:rPr>
          <w:lang w:eastAsia="en-AU" w:bidi="ar-SA"/>
        </w:rPr>
        <w:t>and i</w:t>
      </w:r>
      <w:r w:rsidR="00DC0C7A">
        <w:rPr>
          <w:lang w:eastAsia="en-AU" w:bidi="ar-SA"/>
        </w:rPr>
        <w:t>s under consideration by Codex</w:t>
      </w:r>
      <w:r w:rsidR="00AE5DD8">
        <w:rPr>
          <w:lang w:eastAsia="en-AU" w:bidi="ar-SA"/>
        </w:rPr>
        <w:t xml:space="preserve"> to replace its predecessor AOAC 2009.01</w:t>
      </w:r>
      <w:r w:rsidR="00DC0C7A">
        <w:rPr>
          <w:lang w:eastAsia="en-AU" w:bidi="ar-SA"/>
        </w:rPr>
        <w:t>.</w:t>
      </w:r>
      <w:r w:rsidR="009A207E" w:rsidRPr="009A207E">
        <w:rPr>
          <w:lang w:eastAsia="en-AU" w:bidi="ar-SA"/>
        </w:rPr>
        <w:t xml:space="preserve"> </w:t>
      </w:r>
      <w:r w:rsidR="009A207E">
        <w:rPr>
          <w:lang w:eastAsia="en-AU" w:bidi="ar-SA"/>
        </w:rPr>
        <w:t>Given this, it is expected that this method will be considered more broadly internationally into the future.</w:t>
      </w:r>
    </w:p>
    <w:p w14:paraId="7B85327B" w14:textId="77777777" w:rsidR="00F42737" w:rsidRPr="00172F26" w:rsidRDefault="00F42737" w:rsidP="00172F26">
      <w:pPr>
        <w:pStyle w:val="Heading5"/>
        <w:rPr>
          <w:b/>
        </w:rPr>
      </w:pPr>
      <w:r w:rsidRPr="00172F26">
        <w:rPr>
          <w:b/>
        </w:rPr>
        <w:lastRenderedPageBreak/>
        <w:t>Conclusion</w:t>
      </w:r>
    </w:p>
    <w:p w14:paraId="27F07AB3" w14:textId="1A86BD13" w:rsidR="00F42737" w:rsidRDefault="00A370D8" w:rsidP="00172F26">
      <w:pPr>
        <w:widowControl/>
        <w:spacing w:after="240"/>
        <w:rPr>
          <w:lang w:bidi="ar-SA"/>
        </w:rPr>
      </w:pPr>
      <w:r>
        <w:rPr>
          <w:lang w:eastAsia="en-AU" w:bidi="ar-SA"/>
        </w:rPr>
        <w:t>Option 3 is preferred because</w:t>
      </w:r>
      <w:r w:rsidR="00172F26">
        <w:rPr>
          <w:lang w:bidi="ar-SA"/>
        </w:rPr>
        <w:t>:</w:t>
      </w:r>
    </w:p>
    <w:p w14:paraId="3677F529" w14:textId="4D990569" w:rsidR="00463EA6" w:rsidRDefault="00463EA6" w:rsidP="00463EA6">
      <w:pPr>
        <w:pStyle w:val="ListParagraph"/>
        <w:widowControl/>
        <w:numPr>
          <w:ilvl w:val="0"/>
          <w:numId w:val="75"/>
        </w:numPr>
        <w:rPr>
          <w:lang w:eastAsia="en-AU" w:bidi="ar-SA"/>
        </w:rPr>
      </w:pPr>
      <w:r>
        <w:rPr>
          <w:lang w:bidi="ar-SA"/>
        </w:rPr>
        <w:t>There is already existing variability in dietary fibre values depending on the method(s) used or where the values are obtained from (i.e. food databases)</w:t>
      </w:r>
      <w:r w:rsidR="00B9317B">
        <w:rPr>
          <w:lang w:bidi="ar-SA"/>
        </w:rPr>
        <w:t>.</w:t>
      </w:r>
    </w:p>
    <w:p w14:paraId="44CB414F" w14:textId="0065EF30" w:rsidR="00E338D7" w:rsidRDefault="00EE0247" w:rsidP="008D20AD">
      <w:pPr>
        <w:pStyle w:val="ListParagraph"/>
        <w:widowControl/>
        <w:numPr>
          <w:ilvl w:val="0"/>
          <w:numId w:val="75"/>
        </w:numPr>
        <w:rPr>
          <w:lang w:eastAsia="en-AU" w:bidi="ar-SA"/>
        </w:rPr>
      </w:pPr>
      <w:r>
        <w:rPr>
          <w:lang w:eastAsia="en-AU" w:bidi="ar-SA"/>
        </w:rPr>
        <w:t xml:space="preserve">It </w:t>
      </w:r>
      <w:r w:rsidR="00E338D7">
        <w:rPr>
          <w:lang w:eastAsia="en-AU" w:bidi="ar-SA"/>
        </w:rPr>
        <w:t xml:space="preserve">is </w:t>
      </w:r>
      <w:r w:rsidR="00564E7A">
        <w:rPr>
          <w:lang w:eastAsia="en-AU" w:bidi="ar-SA"/>
        </w:rPr>
        <w:t xml:space="preserve">the most </w:t>
      </w:r>
      <w:r w:rsidR="00027F53">
        <w:rPr>
          <w:lang w:eastAsia="en-AU" w:bidi="ar-SA"/>
        </w:rPr>
        <w:t>proportionate</w:t>
      </w:r>
      <w:r w:rsidR="00564E7A">
        <w:rPr>
          <w:lang w:eastAsia="en-AU" w:bidi="ar-SA"/>
        </w:rPr>
        <w:t xml:space="preserve"> </w:t>
      </w:r>
      <w:r w:rsidR="00E338D7">
        <w:rPr>
          <w:lang w:eastAsia="en-AU" w:bidi="ar-SA"/>
        </w:rPr>
        <w:t xml:space="preserve">response given the advantages </w:t>
      </w:r>
      <w:r w:rsidR="001A45E4">
        <w:rPr>
          <w:lang w:eastAsia="en-AU" w:bidi="ar-SA"/>
        </w:rPr>
        <w:t xml:space="preserve">of </w:t>
      </w:r>
      <w:r w:rsidR="00E338D7">
        <w:rPr>
          <w:lang w:eastAsia="en-AU" w:bidi="ar-SA"/>
        </w:rPr>
        <w:t xml:space="preserve">the method for </w:t>
      </w:r>
      <w:r w:rsidR="00CA3663">
        <w:rPr>
          <w:lang w:eastAsia="en-AU" w:bidi="ar-SA"/>
        </w:rPr>
        <w:t xml:space="preserve">analysing </w:t>
      </w:r>
      <w:r w:rsidR="00E338D7">
        <w:rPr>
          <w:lang w:eastAsia="en-AU" w:bidi="ar-SA"/>
        </w:rPr>
        <w:t xml:space="preserve">foods containing </w:t>
      </w:r>
      <w:r w:rsidR="00C06192">
        <w:rPr>
          <w:lang w:eastAsia="en-AU" w:bidi="ar-SA"/>
        </w:rPr>
        <w:t>both HMWDF and</w:t>
      </w:r>
      <w:r w:rsidR="00172F26">
        <w:rPr>
          <w:lang w:eastAsia="en-AU" w:bidi="ar-SA"/>
        </w:rPr>
        <w:t xml:space="preserve"> LMWDF</w:t>
      </w:r>
      <w:r w:rsidR="00463EA6">
        <w:rPr>
          <w:lang w:eastAsia="en-AU" w:bidi="ar-SA"/>
        </w:rPr>
        <w:t xml:space="preserve">. </w:t>
      </w:r>
      <w:r w:rsidR="00463EA6">
        <w:t>M</w:t>
      </w:r>
      <w:r w:rsidR="00463EA6" w:rsidRPr="00265029">
        <w:t xml:space="preserve">anufacturers and analysts </w:t>
      </w:r>
      <w:r w:rsidR="00463EA6">
        <w:t xml:space="preserve">should </w:t>
      </w:r>
      <w:r w:rsidR="00463EA6" w:rsidRPr="00265029">
        <w:t>understand what each method</w:t>
      </w:r>
      <w:r w:rsidR="00463EA6">
        <w:t xml:space="preserve"> is</w:t>
      </w:r>
      <w:r w:rsidR="00463EA6" w:rsidRPr="00265029">
        <w:t xml:space="preserve"> </w:t>
      </w:r>
      <w:r w:rsidR="00463EA6">
        <w:t xml:space="preserve">best </w:t>
      </w:r>
      <w:r w:rsidR="00463EA6" w:rsidRPr="00265029">
        <w:t>suited for, including any limitations, and apply them to food samples appropriately</w:t>
      </w:r>
      <w:r w:rsidR="00B9317B">
        <w:t>.</w:t>
      </w:r>
    </w:p>
    <w:p w14:paraId="3E7F6692" w14:textId="0AC61E18" w:rsidR="00463EA6" w:rsidRDefault="00463EA6" w:rsidP="00463EA6">
      <w:pPr>
        <w:pStyle w:val="FSBullet1"/>
        <w:numPr>
          <w:ilvl w:val="0"/>
          <w:numId w:val="75"/>
        </w:numPr>
        <w:rPr>
          <w:lang w:eastAsia="en-AU"/>
        </w:rPr>
      </w:pPr>
      <w:r>
        <w:rPr>
          <w:lang w:eastAsia="en-AU"/>
        </w:rPr>
        <w:t>This is a voluntary method that enables innovation by industry to measure total dietary fibre by a single more comprehensive method</w:t>
      </w:r>
      <w:r w:rsidR="00B9317B">
        <w:rPr>
          <w:lang w:eastAsia="en-AU"/>
        </w:rPr>
        <w:t>.</w:t>
      </w:r>
      <w:r>
        <w:rPr>
          <w:lang w:eastAsia="en-AU"/>
        </w:rPr>
        <w:t xml:space="preserve"> </w:t>
      </w:r>
    </w:p>
    <w:p w14:paraId="388ECAD4" w14:textId="645B839F" w:rsidR="00463EA6" w:rsidRDefault="00463EA6" w:rsidP="00463EA6">
      <w:pPr>
        <w:pStyle w:val="ListParagraph"/>
        <w:widowControl/>
        <w:numPr>
          <w:ilvl w:val="0"/>
          <w:numId w:val="75"/>
        </w:numPr>
        <w:rPr>
          <w:lang w:eastAsia="en-AU" w:bidi="ar-SA"/>
        </w:rPr>
      </w:pPr>
      <w:r>
        <w:t>E</w:t>
      </w:r>
      <w:r w:rsidRPr="009D0ABC">
        <w:t>nforcemen</w:t>
      </w:r>
      <w:r>
        <w:t>t agencies will not be impacted by this permission</w:t>
      </w:r>
      <w:r w:rsidR="00B9317B">
        <w:t>.</w:t>
      </w:r>
    </w:p>
    <w:p w14:paraId="7C4699C6" w14:textId="12D7866F" w:rsidR="003029C4" w:rsidRDefault="00EE0247" w:rsidP="003029C4">
      <w:pPr>
        <w:pStyle w:val="ListParagraph"/>
        <w:widowControl/>
        <w:numPr>
          <w:ilvl w:val="0"/>
          <w:numId w:val="75"/>
        </w:numPr>
        <w:rPr>
          <w:lang w:eastAsia="en-AU" w:bidi="ar-SA"/>
        </w:rPr>
      </w:pPr>
      <w:r>
        <w:rPr>
          <w:lang w:eastAsia="en-AU" w:bidi="ar-SA"/>
        </w:rPr>
        <w:t xml:space="preserve">It </w:t>
      </w:r>
      <w:r w:rsidR="003029C4">
        <w:rPr>
          <w:lang w:eastAsia="en-AU" w:bidi="ar-SA"/>
        </w:rPr>
        <w:t xml:space="preserve">more closely harmonises </w:t>
      </w:r>
      <w:r w:rsidR="00EA0071">
        <w:rPr>
          <w:lang w:eastAsia="en-AU" w:bidi="ar-SA"/>
        </w:rPr>
        <w:t>the analysis of dietary fibre</w:t>
      </w:r>
      <w:r w:rsidR="00817B91">
        <w:rPr>
          <w:lang w:eastAsia="en-AU" w:bidi="ar-SA"/>
        </w:rPr>
        <w:t xml:space="preserve"> </w:t>
      </w:r>
      <w:r w:rsidR="003029C4">
        <w:rPr>
          <w:lang w:eastAsia="en-AU" w:bidi="ar-SA"/>
        </w:rPr>
        <w:t>with Codex and comparable countries such as the EU, US and Canada who appear to be embracing newer methods of analysis</w:t>
      </w:r>
      <w:r w:rsidR="00463EA6">
        <w:rPr>
          <w:lang w:eastAsia="en-AU" w:bidi="ar-SA"/>
        </w:rPr>
        <w:t>.</w:t>
      </w:r>
    </w:p>
    <w:p w14:paraId="1E463069" w14:textId="70FCB083" w:rsidR="008C4F4A" w:rsidRDefault="008C4F4A" w:rsidP="009C5197">
      <w:pPr>
        <w:pStyle w:val="Heading2"/>
        <w:widowControl/>
      </w:pPr>
      <w:bookmarkStart w:id="89" w:name="_Toc67321512"/>
      <w:bookmarkStart w:id="90" w:name="_Toc69987920"/>
      <w:bookmarkStart w:id="91" w:name="_Toc70002642"/>
      <w:r>
        <w:t>3.</w:t>
      </w:r>
      <w:r w:rsidR="00B2150A">
        <w:t>4</w:t>
      </w:r>
      <w:r>
        <w:tab/>
        <w:t>Updating</w:t>
      </w:r>
      <w:r w:rsidR="0069341F">
        <w:t xml:space="preserve"> reference to</w:t>
      </w:r>
      <w:r>
        <w:t xml:space="preserve"> the AOAC Official Methods of Analysis edition in the Code</w:t>
      </w:r>
      <w:bookmarkEnd w:id="89"/>
      <w:bookmarkEnd w:id="90"/>
      <w:bookmarkEnd w:id="91"/>
    </w:p>
    <w:p w14:paraId="19E2B6BC" w14:textId="7AD39F77" w:rsidR="00832331" w:rsidRDefault="00832331" w:rsidP="003F7D15">
      <w:pPr>
        <w:widowControl/>
        <w:spacing w:after="240"/>
        <w:rPr>
          <w:lang w:bidi="ar-SA"/>
        </w:rPr>
      </w:pPr>
      <w:r>
        <w:rPr>
          <w:lang w:bidi="ar-SA"/>
        </w:rPr>
        <w:t xml:space="preserve">To permit AOAC 2017.16 in the Code, it is also necessary to </w:t>
      </w:r>
      <w:r w:rsidR="0069341F">
        <w:rPr>
          <w:lang w:bidi="ar-SA"/>
        </w:rPr>
        <w:t xml:space="preserve">amend subsection S11—4(4), which currently only refers to </w:t>
      </w:r>
      <w:r w:rsidR="00176F27">
        <w:rPr>
          <w:lang w:bidi="ar-SA"/>
        </w:rPr>
        <w:t xml:space="preserve">the </w:t>
      </w:r>
      <w:r w:rsidR="001A5EDB">
        <w:rPr>
          <w:lang w:bidi="ar-SA"/>
        </w:rPr>
        <w:t>18</w:t>
      </w:r>
      <w:r w:rsidR="001A5EDB" w:rsidRPr="004836A5">
        <w:rPr>
          <w:vertAlign w:val="superscript"/>
          <w:lang w:bidi="ar-SA"/>
        </w:rPr>
        <w:t>th</w:t>
      </w:r>
      <w:r w:rsidR="001A5EDB">
        <w:rPr>
          <w:lang w:bidi="ar-SA"/>
        </w:rPr>
        <w:t xml:space="preserve"> edition of</w:t>
      </w:r>
      <w:r>
        <w:rPr>
          <w:lang w:bidi="ar-SA"/>
        </w:rPr>
        <w:t xml:space="preserve"> AOAC Official Methods of Analysis </w:t>
      </w:r>
      <w:r w:rsidR="001A5EDB">
        <w:rPr>
          <w:lang w:bidi="ar-SA"/>
        </w:rPr>
        <w:t>(2005)</w:t>
      </w:r>
      <w:r w:rsidR="002B5B46">
        <w:rPr>
          <w:lang w:bidi="ar-SA"/>
        </w:rPr>
        <w:t>,</w:t>
      </w:r>
      <w:r w:rsidR="004836A5">
        <w:rPr>
          <w:lang w:bidi="ar-SA"/>
        </w:rPr>
        <w:t xml:space="preserve"> to </w:t>
      </w:r>
      <w:r w:rsidR="002B5B46">
        <w:rPr>
          <w:lang w:bidi="ar-SA"/>
        </w:rPr>
        <w:t xml:space="preserve">refer instead to </w:t>
      </w:r>
      <w:r w:rsidR="004836A5">
        <w:rPr>
          <w:lang w:bidi="ar-SA"/>
        </w:rPr>
        <w:t>the 21</w:t>
      </w:r>
      <w:r w:rsidR="004836A5" w:rsidRPr="004836A5">
        <w:rPr>
          <w:vertAlign w:val="superscript"/>
          <w:lang w:bidi="ar-SA"/>
        </w:rPr>
        <w:t>st</w:t>
      </w:r>
      <w:r w:rsidR="004836A5">
        <w:rPr>
          <w:lang w:bidi="ar-SA"/>
        </w:rPr>
        <w:t xml:space="preserve"> Edition (AOAC, 2019</w:t>
      </w:r>
      <w:r w:rsidR="00176F27">
        <w:rPr>
          <w:lang w:bidi="ar-SA"/>
        </w:rPr>
        <w:t xml:space="preserve">). </w:t>
      </w:r>
      <w:r w:rsidR="006E7772">
        <w:rPr>
          <w:lang w:bidi="ar-SA"/>
        </w:rPr>
        <w:t xml:space="preserve">An </w:t>
      </w:r>
      <w:r w:rsidR="0069341F">
        <w:rPr>
          <w:lang w:bidi="ar-SA"/>
        </w:rPr>
        <w:t xml:space="preserve">amendment </w:t>
      </w:r>
      <w:r w:rsidR="00176F27">
        <w:rPr>
          <w:lang w:bidi="ar-SA"/>
        </w:rPr>
        <w:t>is needed because</w:t>
      </w:r>
      <w:r w:rsidR="004836A5">
        <w:rPr>
          <w:lang w:bidi="ar-SA"/>
        </w:rPr>
        <w:t xml:space="preserve"> the 18</w:t>
      </w:r>
      <w:r w:rsidR="004836A5" w:rsidRPr="004836A5">
        <w:rPr>
          <w:vertAlign w:val="superscript"/>
          <w:lang w:bidi="ar-SA"/>
        </w:rPr>
        <w:t>th</w:t>
      </w:r>
      <w:r w:rsidR="004836A5">
        <w:rPr>
          <w:lang w:bidi="ar-SA"/>
        </w:rPr>
        <w:t xml:space="preserve"> edition does not include AOAC 2017.16.</w:t>
      </w:r>
      <w:r w:rsidR="001A5EDB" w:rsidRPr="001A5EDB">
        <w:rPr>
          <w:lang w:bidi="ar-SA"/>
        </w:rPr>
        <w:t xml:space="preserve"> </w:t>
      </w:r>
    </w:p>
    <w:p w14:paraId="3BCEBF6A" w14:textId="4D92D334" w:rsidR="003F7D15" w:rsidRDefault="003F7D15" w:rsidP="003F7D15">
      <w:pPr>
        <w:widowControl/>
        <w:spacing w:after="240"/>
        <w:rPr>
          <w:lang w:bidi="ar-SA"/>
        </w:rPr>
      </w:pPr>
      <w:r>
        <w:rPr>
          <w:lang w:bidi="ar-SA"/>
        </w:rPr>
        <w:t>FSANZ notes AOAC 2017.16 is available in the printed 21</w:t>
      </w:r>
      <w:r w:rsidRPr="003F7D15">
        <w:rPr>
          <w:vertAlign w:val="superscript"/>
          <w:lang w:bidi="ar-SA"/>
        </w:rPr>
        <w:t>st</w:t>
      </w:r>
      <w:r>
        <w:rPr>
          <w:lang w:bidi="ar-SA"/>
        </w:rPr>
        <w:t xml:space="preserve"> edition (2019) as ‘first action’ status. The online 21</w:t>
      </w:r>
      <w:r w:rsidRPr="003F7D15">
        <w:rPr>
          <w:vertAlign w:val="superscript"/>
          <w:lang w:bidi="ar-SA"/>
        </w:rPr>
        <w:t>st</w:t>
      </w:r>
      <w:r>
        <w:rPr>
          <w:lang w:bidi="ar-SA"/>
        </w:rPr>
        <w:t xml:space="preserve"> edition contains AOAC 2017.16 as ‘final action’. F</w:t>
      </w:r>
      <w:r w:rsidR="0069341F">
        <w:rPr>
          <w:lang w:bidi="ar-SA"/>
        </w:rPr>
        <w:t>SANZ understands that f</w:t>
      </w:r>
      <w:r>
        <w:rPr>
          <w:lang w:bidi="ar-SA"/>
        </w:rPr>
        <w:t>uture print revisions of the 21</w:t>
      </w:r>
      <w:r w:rsidRPr="003F7D15">
        <w:rPr>
          <w:vertAlign w:val="superscript"/>
          <w:lang w:bidi="ar-SA"/>
        </w:rPr>
        <w:t>st</w:t>
      </w:r>
      <w:r>
        <w:rPr>
          <w:lang w:bidi="ar-SA"/>
        </w:rPr>
        <w:t xml:space="preserve"> edition (2019) will list AOAC 2017.16 as ‘final action’.</w:t>
      </w:r>
    </w:p>
    <w:p w14:paraId="3B48F8B8" w14:textId="0FABAF7F" w:rsidR="009F657C" w:rsidRDefault="009F657C" w:rsidP="009C5197">
      <w:pPr>
        <w:widowControl/>
        <w:rPr>
          <w:lang w:bidi="ar-SA"/>
        </w:rPr>
      </w:pPr>
      <w:r>
        <w:rPr>
          <w:lang w:bidi="ar-SA"/>
        </w:rPr>
        <w:t xml:space="preserve">In order to update the </w:t>
      </w:r>
      <w:r w:rsidR="003F7D15">
        <w:rPr>
          <w:lang w:bidi="ar-SA"/>
        </w:rPr>
        <w:t>reference</w:t>
      </w:r>
      <w:r>
        <w:rPr>
          <w:lang w:bidi="ar-SA"/>
        </w:rPr>
        <w:t xml:space="preserve">, it </w:t>
      </w:r>
      <w:r w:rsidR="00655EC5">
        <w:rPr>
          <w:lang w:bidi="ar-SA"/>
        </w:rPr>
        <w:t>is</w:t>
      </w:r>
      <w:r>
        <w:rPr>
          <w:lang w:bidi="ar-SA"/>
        </w:rPr>
        <w:t xml:space="preserve"> important to know if any change to permitted methods </w:t>
      </w:r>
      <w:r w:rsidR="00BF3A0A">
        <w:rPr>
          <w:lang w:bidi="ar-SA"/>
        </w:rPr>
        <w:t xml:space="preserve">had occurred </w:t>
      </w:r>
      <w:r w:rsidR="001C47F3">
        <w:rPr>
          <w:lang w:bidi="ar-SA"/>
        </w:rPr>
        <w:t>between editions</w:t>
      </w:r>
      <w:r>
        <w:rPr>
          <w:lang w:bidi="ar-SA"/>
        </w:rPr>
        <w:t xml:space="preserve">, and </w:t>
      </w:r>
      <w:r w:rsidR="00176F27">
        <w:rPr>
          <w:lang w:bidi="ar-SA"/>
        </w:rPr>
        <w:t xml:space="preserve">to assess </w:t>
      </w:r>
      <w:r>
        <w:rPr>
          <w:lang w:bidi="ar-SA"/>
        </w:rPr>
        <w:t xml:space="preserve">the impact of these. </w:t>
      </w:r>
    </w:p>
    <w:p w14:paraId="38B98BC9" w14:textId="416E5921" w:rsidR="001C47F3" w:rsidRDefault="004836A5" w:rsidP="003F7D15">
      <w:pPr>
        <w:widowControl/>
        <w:spacing w:before="240" w:after="240"/>
        <w:rPr>
          <w:lang w:bidi="ar-SA"/>
        </w:rPr>
      </w:pPr>
      <w:r>
        <w:rPr>
          <w:lang w:bidi="ar-SA"/>
        </w:rPr>
        <w:t xml:space="preserve">FSANZ </w:t>
      </w:r>
      <w:r w:rsidR="00FD759D">
        <w:rPr>
          <w:lang w:bidi="ar-SA"/>
        </w:rPr>
        <w:t>has determined</w:t>
      </w:r>
      <w:r>
        <w:rPr>
          <w:lang w:bidi="ar-SA"/>
        </w:rPr>
        <w:t xml:space="preserve"> that the only change </w:t>
      </w:r>
      <w:r w:rsidR="00176F27">
        <w:rPr>
          <w:lang w:bidi="ar-SA"/>
        </w:rPr>
        <w:t xml:space="preserve">between editions </w:t>
      </w:r>
      <w:r w:rsidR="00FD759D">
        <w:rPr>
          <w:lang w:bidi="ar-SA"/>
        </w:rPr>
        <w:t xml:space="preserve">occurred in 2013 and </w:t>
      </w:r>
      <w:r w:rsidR="00176F27">
        <w:rPr>
          <w:lang w:bidi="ar-SA"/>
        </w:rPr>
        <w:t>relates to</w:t>
      </w:r>
      <w:r>
        <w:rPr>
          <w:lang w:bidi="ar-SA"/>
        </w:rPr>
        <w:t xml:space="preserve"> AOAC 997.08 </w:t>
      </w:r>
      <w:r w:rsidR="00176F27">
        <w:rPr>
          <w:lang w:bidi="ar-SA"/>
        </w:rPr>
        <w:t>–</w:t>
      </w:r>
      <w:r>
        <w:rPr>
          <w:lang w:bidi="ar-SA"/>
        </w:rPr>
        <w:t xml:space="preserve"> </w:t>
      </w:r>
      <w:r w:rsidRPr="004D60AC">
        <w:rPr>
          <w:rFonts w:cs="Arial"/>
          <w:szCs w:val="22"/>
        </w:rPr>
        <w:t xml:space="preserve">inulin and </w:t>
      </w:r>
      <w:r w:rsidR="00176F27">
        <w:rPr>
          <w:rFonts w:cs="Arial"/>
          <w:szCs w:val="22"/>
        </w:rPr>
        <w:t>FOS</w:t>
      </w:r>
      <w:r w:rsidR="00176F27">
        <w:rPr>
          <w:lang w:bidi="ar-SA"/>
        </w:rPr>
        <w:t xml:space="preserve">. </w:t>
      </w:r>
      <w:r w:rsidR="00655EC5">
        <w:rPr>
          <w:lang w:bidi="ar-SA"/>
        </w:rPr>
        <w:t>The 18</w:t>
      </w:r>
      <w:r w:rsidR="00655EC5" w:rsidRPr="00655EC5">
        <w:rPr>
          <w:vertAlign w:val="superscript"/>
          <w:lang w:bidi="ar-SA"/>
        </w:rPr>
        <w:t>th</w:t>
      </w:r>
      <w:r w:rsidR="00655EC5">
        <w:rPr>
          <w:lang w:bidi="ar-SA"/>
        </w:rPr>
        <w:t xml:space="preserve"> edition allowed</w:t>
      </w:r>
      <w:r w:rsidR="008C4F4A">
        <w:rPr>
          <w:lang w:bidi="ar-SA"/>
        </w:rPr>
        <w:t xml:space="preserve"> analysts the </w:t>
      </w:r>
      <w:r w:rsidR="00655EC5">
        <w:rPr>
          <w:lang w:bidi="ar-SA"/>
        </w:rPr>
        <w:t>choice</w:t>
      </w:r>
      <w:r w:rsidR="008C4F4A">
        <w:rPr>
          <w:lang w:bidi="ar-SA"/>
        </w:rPr>
        <w:t xml:space="preserve"> of</w:t>
      </w:r>
      <w:r w:rsidR="00BA011E">
        <w:rPr>
          <w:lang w:bidi="ar-SA"/>
        </w:rPr>
        <w:t xml:space="preserve"> either</w:t>
      </w:r>
      <w:r w:rsidR="008C4F4A">
        <w:rPr>
          <w:lang w:bidi="ar-SA"/>
        </w:rPr>
        <w:t xml:space="preserve"> </w:t>
      </w:r>
      <w:r w:rsidR="00176F27">
        <w:rPr>
          <w:lang w:bidi="ar-SA"/>
        </w:rPr>
        <w:t>a</w:t>
      </w:r>
      <w:r w:rsidR="009F657C">
        <w:rPr>
          <w:lang w:bidi="ar-SA"/>
        </w:rPr>
        <w:t xml:space="preserve"> </w:t>
      </w:r>
      <w:r w:rsidR="008C4F4A">
        <w:rPr>
          <w:lang w:bidi="ar-SA"/>
        </w:rPr>
        <w:t>two</w:t>
      </w:r>
      <w:r w:rsidR="00176F27">
        <w:rPr>
          <w:lang w:bidi="ar-SA"/>
        </w:rPr>
        <w:t>-</w:t>
      </w:r>
      <w:r w:rsidR="001C47F3">
        <w:rPr>
          <w:lang w:bidi="ar-SA"/>
        </w:rPr>
        <w:t xml:space="preserve"> </w:t>
      </w:r>
      <w:r w:rsidR="00176F27">
        <w:rPr>
          <w:lang w:bidi="ar-SA"/>
        </w:rPr>
        <w:t xml:space="preserve">or three-enzyme </w:t>
      </w:r>
      <w:r w:rsidR="00655EC5">
        <w:rPr>
          <w:lang w:bidi="ar-SA"/>
        </w:rPr>
        <w:t>solution</w:t>
      </w:r>
      <w:r w:rsidR="008C614A">
        <w:rPr>
          <w:lang w:bidi="ar-SA"/>
        </w:rPr>
        <w:t xml:space="preserve"> </w:t>
      </w:r>
      <w:r w:rsidR="001C47F3">
        <w:rPr>
          <w:lang w:bidi="ar-SA"/>
        </w:rPr>
        <w:t xml:space="preserve">as part of the </w:t>
      </w:r>
      <w:r w:rsidR="00655EC5">
        <w:rPr>
          <w:lang w:bidi="ar-SA"/>
        </w:rPr>
        <w:t xml:space="preserve">hydrolysis </w:t>
      </w:r>
      <w:r w:rsidR="001C47F3">
        <w:rPr>
          <w:lang w:bidi="ar-SA"/>
        </w:rPr>
        <w:t>process</w:t>
      </w:r>
      <w:r w:rsidR="00176F27">
        <w:rPr>
          <w:lang w:bidi="ar-SA"/>
        </w:rPr>
        <w:t xml:space="preserve">. </w:t>
      </w:r>
      <w:r w:rsidR="008C614A">
        <w:rPr>
          <w:lang w:bidi="ar-SA"/>
        </w:rPr>
        <w:t>The two enzyme</w:t>
      </w:r>
      <w:r w:rsidR="00832331">
        <w:rPr>
          <w:lang w:bidi="ar-SA"/>
        </w:rPr>
        <w:t xml:space="preserve"> solution did not completely hydrolyse </w:t>
      </w:r>
      <w:r w:rsidR="00176F27">
        <w:rPr>
          <w:lang w:bidi="ar-SA"/>
        </w:rPr>
        <w:t>levan</w:t>
      </w:r>
      <w:r w:rsidR="001C47F3">
        <w:rPr>
          <w:lang w:bidi="ar-SA"/>
        </w:rPr>
        <w:t xml:space="preserve"> (</w:t>
      </w:r>
      <w:r w:rsidR="00BF3A0A">
        <w:rPr>
          <w:lang w:bidi="ar-SA"/>
        </w:rPr>
        <w:t xml:space="preserve">i.e. </w:t>
      </w:r>
      <w:r w:rsidR="001C47F3">
        <w:rPr>
          <w:lang w:bidi="ar-SA"/>
        </w:rPr>
        <w:t xml:space="preserve">a </w:t>
      </w:r>
      <w:r w:rsidR="00907E21">
        <w:rPr>
          <w:lang w:bidi="ar-SA"/>
        </w:rPr>
        <w:t>class</w:t>
      </w:r>
      <w:r w:rsidR="001C47F3">
        <w:rPr>
          <w:lang w:bidi="ar-SA"/>
        </w:rPr>
        <w:t xml:space="preserve"> of fructans)</w:t>
      </w:r>
      <w:r w:rsidR="00176F27">
        <w:rPr>
          <w:lang w:bidi="ar-SA"/>
        </w:rPr>
        <w:t xml:space="preserve"> whereas</w:t>
      </w:r>
      <w:r w:rsidR="00907E21">
        <w:rPr>
          <w:lang w:bidi="ar-SA"/>
        </w:rPr>
        <w:t xml:space="preserve"> the third </w:t>
      </w:r>
      <w:r w:rsidR="00655EC5">
        <w:rPr>
          <w:lang w:bidi="ar-SA"/>
        </w:rPr>
        <w:t>solution</w:t>
      </w:r>
      <w:r w:rsidR="00832331" w:rsidRPr="00832331">
        <w:rPr>
          <w:lang w:bidi="ar-SA"/>
        </w:rPr>
        <w:t xml:space="preserve"> more completely</w:t>
      </w:r>
      <w:r w:rsidR="00176F27" w:rsidRPr="00832331">
        <w:rPr>
          <w:lang w:bidi="ar-SA"/>
        </w:rPr>
        <w:t xml:space="preserve"> hydrolyse</w:t>
      </w:r>
      <w:r w:rsidR="00C81934">
        <w:rPr>
          <w:lang w:bidi="ar-SA"/>
        </w:rPr>
        <w:t>s</w:t>
      </w:r>
      <w:r w:rsidR="008E1423">
        <w:rPr>
          <w:lang w:bidi="ar-SA"/>
        </w:rPr>
        <w:t xml:space="preserve"> the </w:t>
      </w:r>
      <w:r w:rsidR="00176F27" w:rsidRPr="00832331">
        <w:rPr>
          <w:lang w:bidi="ar-SA"/>
        </w:rPr>
        <w:t>levan</w:t>
      </w:r>
      <w:r w:rsidR="00655EC5">
        <w:rPr>
          <w:lang w:bidi="ar-SA"/>
        </w:rPr>
        <w:t>. The</w:t>
      </w:r>
      <w:r w:rsidR="008E1423">
        <w:rPr>
          <w:lang w:bidi="ar-SA"/>
        </w:rPr>
        <w:t xml:space="preserve"> 21</w:t>
      </w:r>
      <w:r w:rsidR="008E1423" w:rsidRPr="0071247F">
        <w:rPr>
          <w:vertAlign w:val="superscript"/>
          <w:lang w:bidi="ar-SA"/>
        </w:rPr>
        <w:t>st</w:t>
      </w:r>
      <w:r w:rsidR="008E1423">
        <w:rPr>
          <w:lang w:bidi="ar-SA"/>
        </w:rPr>
        <w:t xml:space="preserve"> </w:t>
      </w:r>
      <w:r w:rsidR="00655EC5">
        <w:rPr>
          <w:lang w:bidi="ar-SA"/>
        </w:rPr>
        <w:t>e</w:t>
      </w:r>
      <w:r w:rsidR="008E1423">
        <w:rPr>
          <w:lang w:bidi="ar-SA"/>
        </w:rPr>
        <w:t xml:space="preserve">dition (AOAC, 2019) </w:t>
      </w:r>
      <w:r w:rsidR="00655EC5">
        <w:rPr>
          <w:lang w:bidi="ar-SA"/>
        </w:rPr>
        <w:t xml:space="preserve">refers </w:t>
      </w:r>
      <w:r w:rsidR="008E1423">
        <w:rPr>
          <w:lang w:bidi="ar-SA"/>
        </w:rPr>
        <w:t xml:space="preserve">only </w:t>
      </w:r>
      <w:r w:rsidR="00655EC5">
        <w:rPr>
          <w:lang w:bidi="ar-SA"/>
        </w:rPr>
        <w:t xml:space="preserve">to </w:t>
      </w:r>
      <w:r w:rsidR="008E1423">
        <w:rPr>
          <w:lang w:bidi="ar-SA"/>
        </w:rPr>
        <w:t xml:space="preserve">the </w:t>
      </w:r>
      <w:r w:rsidR="00655EC5">
        <w:rPr>
          <w:lang w:bidi="ar-SA"/>
        </w:rPr>
        <w:t>three enzyme solution</w:t>
      </w:r>
      <w:r w:rsidR="008E1423">
        <w:rPr>
          <w:lang w:bidi="ar-SA"/>
        </w:rPr>
        <w:t>.</w:t>
      </w:r>
      <w:r w:rsidR="00832331" w:rsidRPr="00832331">
        <w:rPr>
          <w:lang w:bidi="ar-SA"/>
        </w:rPr>
        <w:t xml:space="preserve"> </w:t>
      </w:r>
      <w:r w:rsidR="001C47F3">
        <w:rPr>
          <w:lang w:bidi="ar-SA"/>
        </w:rPr>
        <w:t xml:space="preserve"> </w:t>
      </w:r>
    </w:p>
    <w:p w14:paraId="1647BE08" w14:textId="1E7F1344" w:rsidR="008C4F4A" w:rsidRDefault="001C47F3" w:rsidP="003F2BE9">
      <w:pPr>
        <w:widowControl/>
        <w:spacing w:after="240"/>
        <w:rPr>
          <w:lang w:bidi="ar-SA"/>
        </w:rPr>
      </w:pPr>
      <w:r>
        <w:rPr>
          <w:lang w:bidi="ar-SA"/>
        </w:rPr>
        <w:t xml:space="preserve">FSANZ understands </w:t>
      </w:r>
      <w:r w:rsidR="00655EC5">
        <w:rPr>
          <w:lang w:bidi="ar-SA"/>
        </w:rPr>
        <w:t xml:space="preserve">that certain inulin and FOS </w:t>
      </w:r>
      <w:r>
        <w:rPr>
          <w:lang w:bidi="ar-SA"/>
        </w:rPr>
        <w:t xml:space="preserve">data </w:t>
      </w:r>
      <w:r w:rsidR="00655EC5">
        <w:rPr>
          <w:lang w:bidi="ar-SA"/>
        </w:rPr>
        <w:t>measured by</w:t>
      </w:r>
      <w:r w:rsidR="008E1423">
        <w:rPr>
          <w:lang w:bidi="ar-SA"/>
        </w:rPr>
        <w:t xml:space="preserve"> AOAC 997.08</w:t>
      </w:r>
      <w:r w:rsidR="00655EC5">
        <w:rPr>
          <w:lang w:bidi="ar-SA"/>
        </w:rPr>
        <w:t xml:space="preserve"> and using the two enzyme solution </w:t>
      </w:r>
      <w:r>
        <w:rPr>
          <w:lang w:bidi="ar-SA"/>
        </w:rPr>
        <w:t xml:space="preserve">could exist in food databases </w:t>
      </w:r>
      <w:r w:rsidR="00655EC5">
        <w:rPr>
          <w:lang w:bidi="ar-SA"/>
        </w:rPr>
        <w:t xml:space="preserve">used for label declaration. These data </w:t>
      </w:r>
      <w:r>
        <w:rPr>
          <w:lang w:bidi="ar-SA"/>
        </w:rPr>
        <w:t xml:space="preserve">would </w:t>
      </w:r>
      <w:r w:rsidR="00B45F76">
        <w:rPr>
          <w:lang w:bidi="ar-SA"/>
        </w:rPr>
        <w:t xml:space="preserve">technically </w:t>
      </w:r>
      <w:r>
        <w:rPr>
          <w:lang w:bidi="ar-SA"/>
        </w:rPr>
        <w:t>be</w:t>
      </w:r>
      <w:r w:rsidR="00655EC5">
        <w:rPr>
          <w:lang w:bidi="ar-SA"/>
        </w:rPr>
        <w:t>come</w:t>
      </w:r>
      <w:r>
        <w:rPr>
          <w:lang w:bidi="ar-SA"/>
        </w:rPr>
        <w:t xml:space="preserve"> non-compliant </w:t>
      </w:r>
      <w:r w:rsidR="00B45F76">
        <w:rPr>
          <w:lang w:bidi="ar-SA"/>
        </w:rPr>
        <w:t xml:space="preserve">with the Code </w:t>
      </w:r>
      <w:r>
        <w:rPr>
          <w:lang w:bidi="ar-SA"/>
        </w:rPr>
        <w:t>if the AOAC edition</w:t>
      </w:r>
      <w:r w:rsidR="00B45F76">
        <w:rPr>
          <w:lang w:bidi="ar-SA"/>
        </w:rPr>
        <w:t xml:space="preserve"> </w:t>
      </w:r>
      <w:r w:rsidR="00655EC5">
        <w:rPr>
          <w:lang w:bidi="ar-SA"/>
        </w:rPr>
        <w:t>were to be</w:t>
      </w:r>
      <w:r w:rsidR="00B45F76">
        <w:rPr>
          <w:lang w:bidi="ar-SA"/>
        </w:rPr>
        <w:t xml:space="preserve"> updated</w:t>
      </w:r>
      <w:r w:rsidR="00655EC5">
        <w:rPr>
          <w:lang w:bidi="ar-SA"/>
        </w:rPr>
        <w:t xml:space="preserve">. To assist </w:t>
      </w:r>
      <w:r w:rsidR="00B45F76">
        <w:rPr>
          <w:lang w:bidi="ar-SA"/>
        </w:rPr>
        <w:t xml:space="preserve">FSANZ </w:t>
      </w:r>
      <w:r w:rsidR="00655EC5">
        <w:rPr>
          <w:lang w:bidi="ar-SA"/>
        </w:rPr>
        <w:t>assess the impact of updating</w:t>
      </w:r>
      <w:r w:rsidR="00B45F76">
        <w:rPr>
          <w:lang w:bidi="ar-SA"/>
        </w:rPr>
        <w:t xml:space="preserve"> to the </w:t>
      </w:r>
      <w:r w:rsidR="00655EC5">
        <w:rPr>
          <w:lang w:bidi="ar-SA"/>
        </w:rPr>
        <w:t>most recent edition</w:t>
      </w:r>
      <w:r w:rsidR="00832331">
        <w:rPr>
          <w:lang w:bidi="ar-SA"/>
        </w:rPr>
        <w:t>, FSANZ welcomes</w:t>
      </w:r>
      <w:r w:rsidR="008C4F4A">
        <w:rPr>
          <w:lang w:bidi="ar-SA"/>
        </w:rPr>
        <w:t xml:space="preserve"> stakeholder input on </w:t>
      </w:r>
      <w:r w:rsidR="00832331">
        <w:rPr>
          <w:lang w:bidi="ar-SA"/>
        </w:rPr>
        <w:t>the following question:</w:t>
      </w:r>
    </w:p>
    <w:tbl>
      <w:tblPr>
        <w:tblStyle w:val="TableGrid"/>
        <w:tblW w:w="0" w:type="auto"/>
        <w:tblLook w:val="04A0" w:firstRow="1" w:lastRow="0" w:firstColumn="1" w:lastColumn="0" w:noHBand="0" w:noVBand="1"/>
        <w:tblDescription w:val="Question on dietary fibre values available using AOAC 997.08 prior to 2013, using the two enzyme solution"/>
      </w:tblPr>
      <w:tblGrid>
        <w:gridCol w:w="9060"/>
      </w:tblGrid>
      <w:tr w:rsidR="00832331" w14:paraId="70B3F380" w14:textId="77777777" w:rsidTr="00832331">
        <w:tc>
          <w:tcPr>
            <w:tcW w:w="9060" w:type="dxa"/>
          </w:tcPr>
          <w:p w14:paraId="14F3320B" w14:textId="4E3AEEF0" w:rsidR="007F7F59" w:rsidRDefault="00832331" w:rsidP="003F2BE9">
            <w:pPr>
              <w:keepNext/>
              <w:widowControl/>
              <w:spacing w:before="240" w:after="240"/>
              <w:rPr>
                <w:lang w:bidi="ar-SA"/>
              </w:rPr>
            </w:pPr>
            <w:r>
              <w:rPr>
                <w:lang w:bidi="ar-SA"/>
              </w:rPr>
              <w:lastRenderedPageBreak/>
              <w:t>Question:</w:t>
            </w:r>
          </w:p>
          <w:p w14:paraId="0AEAE731" w14:textId="79704E95" w:rsidR="001C47F3" w:rsidRDefault="00CA3663" w:rsidP="004E124D">
            <w:pPr>
              <w:pStyle w:val="ListParagraph"/>
              <w:keepNext/>
              <w:widowControl/>
              <w:numPr>
                <w:ilvl w:val="0"/>
                <w:numId w:val="45"/>
              </w:numPr>
              <w:spacing w:after="240"/>
              <w:rPr>
                <w:lang w:bidi="ar-SA"/>
              </w:rPr>
            </w:pPr>
            <w:r>
              <w:rPr>
                <w:lang w:bidi="ar-SA"/>
              </w:rPr>
              <w:t xml:space="preserve">Are there any dietary fibre values currently declared on food labels that have been determined </w:t>
            </w:r>
            <w:r w:rsidR="007F7F59">
              <w:rPr>
                <w:lang w:bidi="ar-SA"/>
              </w:rPr>
              <w:t xml:space="preserve">by </w:t>
            </w:r>
            <w:r w:rsidR="00832331">
              <w:rPr>
                <w:lang w:bidi="ar-SA"/>
              </w:rPr>
              <w:t xml:space="preserve">AOAC 997.08 </w:t>
            </w:r>
            <w:r w:rsidR="001C47F3">
              <w:rPr>
                <w:lang w:bidi="ar-SA"/>
              </w:rPr>
              <w:t xml:space="preserve">prior to 2013 </w:t>
            </w:r>
            <w:r w:rsidR="004E124D">
              <w:rPr>
                <w:lang w:bidi="ar-SA"/>
              </w:rPr>
              <w:t>using</w:t>
            </w:r>
            <w:r w:rsidR="007F7F59">
              <w:rPr>
                <w:lang w:bidi="ar-SA"/>
              </w:rPr>
              <w:t xml:space="preserve"> the two enzyme solution? </w:t>
            </w:r>
          </w:p>
        </w:tc>
      </w:tr>
    </w:tbl>
    <w:p w14:paraId="6732F0AC" w14:textId="083AD453" w:rsidR="00CE56F5" w:rsidRPr="004D60AC" w:rsidRDefault="00CE56F5" w:rsidP="003F2BE9">
      <w:pPr>
        <w:pStyle w:val="Heading1"/>
        <w:widowControl/>
        <w:spacing w:before="240"/>
      </w:pPr>
      <w:bookmarkStart w:id="92" w:name="_Toc300933435"/>
      <w:bookmarkStart w:id="93" w:name="_Toc67321513"/>
      <w:bookmarkStart w:id="94" w:name="_Toc69987921"/>
      <w:bookmarkStart w:id="95" w:name="_Toc70002643"/>
      <w:r>
        <w:t>4</w:t>
      </w:r>
      <w:r w:rsidRPr="004D60AC">
        <w:tab/>
        <w:t>Risk communication</w:t>
      </w:r>
      <w:bookmarkEnd w:id="92"/>
      <w:bookmarkEnd w:id="93"/>
      <w:bookmarkEnd w:id="94"/>
      <w:bookmarkEnd w:id="95"/>
      <w:r w:rsidRPr="004D60AC">
        <w:t xml:space="preserve"> </w:t>
      </w:r>
    </w:p>
    <w:p w14:paraId="2847F26B" w14:textId="77777777" w:rsidR="00CE56F5" w:rsidRPr="004D60AC" w:rsidRDefault="00CE56F5" w:rsidP="008B2B2C">
      <w:pPr>
        <w:pStyle w:val="Heading2"/>
        <w:widowControl/>
      </w:pPr>
      <w:bookmarkStart w:id="96" w:name="_Toc300933437"/>
      <w:bookmarkStart w:id="97" w:name="_Toc67321514"/>
      <w:bookmarkStart w:id="98" w:name="_Toc69987922"/>
      <w:bookmarkStart w:id="99" w:name="_Toc70002644"/>
      <w:bookmarkStart w:id="100" w:name="_Toc286391012"/>
      <w:r>
        <w:t>4.1</w:t>
      </w:r>
      <w:r w:rsidRPr="004D60AC">
        <w:tab/>
        <w:t>Consultation</w:t>
      </w:r>
      <w:bookmarkEnd w:id="96"/>
      <w:bookmarkEnd w:id="97"/>
      <w:bookmarkEnd w:id="98"/>
      <w:bookmarkEnd w:id="99"/>
    </w:p>
    <w:p w14:paraId="6B2BB6FB" w14:textId="77777777" w:rsidR="00CE56F5" w:rsidRPr="004D60AC" w:rsidRDefault="00CE56F5" w:rsidP="008B2B2C">
      <w:pPr>
        <w:widowControl/>
        <w:rPr>
          <w:rFonts w:cs="Arial"/>
          <w:color w:val="000000"/>
          <w:szCs w:val="22"/>
        </w:rPr>
      </w:pPr>
      <w:bookmarkStart w:id="101" w:name="_Toc300761912"/>
      <w:bookmarkStart w:id="102" w:name="_Toc300933439"/>
      <w:bookmarkEnd w:id="100"/>
      <w:r w:rsidRPr="004D60AC">
        <w:rPr>
          <w:rFonts w:cs="Arial"/>
          <w:szCs w:val="22"/>
        </w:rPr>
        <w:t xml:space="preserve">Consultation is a key part of FSANZ’s standards development process. </w:t>
      </w:r>
      <w:r w:rsidRPr="004D60AC">
        <w:rPr>
          <w:rFonts w:cs="Arial"/>
          <w:color w:val="000000"/>
          <w:szCs w:val="22"/>
        </w:rPr>
        <w:t>FSANZ has developed a communication strategy for this application. Subscribers and interested parties have been notified about this call for submissions via the FSANZ Notification Circular, media release and through FSANZ’s social media tools and Food Standards News.</w:t>
      </w:r>
    </w:p>
    <w:p w14:paraId="5B3C8DE8" w14:textId="2DE12550" w:rsidR="00E2116D" w:rsidRPr="00B67CB4" w:rsidRDefault="00E2116D" w:rsidP="003F7D15">
      <w:pPr>
        <w:spacing w:before="240" w:after="240"/>
        <w:rPr>
          <w:szCs w:val="22"/>
        </w:rPr>
      </w:pPr>
      <w:r w:rsidRPr="00B67CB4">
        <w:rPr>
          <w:szCs w:val="22"/>
        </w:rPr>
        <w:t>The process by which FSANZ considers standards</w:t>
      </w:r>
      <w:r w:rsidRPr="00B67CB4">
        <w:rPr>
          <w:rFonts w:hint="eastAsia"/>
          <w:szCs w:val="22"/>
        </w:rPr>
        <w:t>’</w:t>
      </w:r>
      <w:r w:rsidRPr="00B67CB4">
        <w:rPr>
          <w:szCs w:val="22"/>
        </w:rPr>
        <w:t xml:space="preserve"> development matters is open,</w:t>
      </w:r>
      <w:r>
        <w:rPr>
          <w:szCs w:val="22"/>
        </w:rPr>
        <w:t xml:space="preserve"> </w:t>
      </w:r>
      <w:r w:rsidRPr="00B67CB4">
        <w:rPr>
          <w:szCs w:val="22"/>
        </w:rPr>
        <w:t>accountable, consultative and transparent. Public submissions are called to obtain the views</w:t>
      </w:r>
      <w:r>
        <w:rPr>
          <w:szCs w:val="22"/>
        </w:rPr>
        <w:t xml:space="preserve"> </w:t>
      </w:r>
      <w:r w:rsidRPr="00B67CB4">
        <w:rPr>
          <w:szCs w:val="22"/>
        </w:rPr>
        <w:t>of interested parties on issues raised by</w:t>
      </w:r>
      <w:r>
        <w:rPr>
          <w:szCs w:val="22"/>
        </w:rPr>
        <w:t xml:space="preserve"> this a</w:t>
      </w:r>
      <w:r w:rsidRPr="00B67CB4">
        <w:rPr>
          <w:szCs w:val="22"/>
        </w:rPr>
        <w:t>pplication and the impacts of regulatory</w:t>
      </w:r>
      <w:r>
        <w:rPr>
          <w:szCs w:val="22"/>
        </w:rPr>
        <w:t xml:space="preserve"> </w:t>
      </w:r>
      <w:r w:rsidRPr="00B67CB4">
        <w:rPr>
          <w:szCs w:val="22"/>
        </w:rPr>
        <w:t>options.</w:t>
      </w:r>
    </w:p>
    <w:p w14:paraId="3937E773" w14:textId="47C3EFD2" w:rsidR="00E2116D" w:rsidRPr="003F2BE9" w:rsidRDefault="00E2116D" w:rsidP="003F2BE9">
      <w:pPr>
        <w:rPr>
          <w:szCs w:val="22"/>
        </w:rPr>
      </w:pPr>
      <w:r w:rsidRPr="00B67CB4">
        <w:rPr>
          <w:szCs w:val="22"/>
        </w:rPr>
        <w:t>The draft variation will be considered for approval by the FSANZ Board taking into account</w:t>
      </w:r>
      <w:r>
        <w:rPr>
          <w:szCs w:val="22"/>
        </w:rPr>
        <w:t xml:space="preserve"> all submissions</w:t>
      </w:r>
      <w:r w:rsidRPr="00B67CB4">
        <w:rPr>
          <w:szCs w:val="22"/>
        </w:rPr>
        <w:t xml:space="preserve"> received from this call for submissions.</w:t>
      </w:r>
    </w:p>
    <w:p w14:paraId="2B85905B" w14:textId="77777777" w:rsidR="00CE56F5" w:rsidRPr="004D60AC" w:rsidRDefault="00CE56F5" w:rsidP="008B2B2C">
      <w:pPr>
        <w:pStyle w:val="Heading2"/>
        <w:widowControl/>
      </w:pPr>
      <w:bookmarkStart w:id="103" w:name="_Toc67321515"/>
      <w:bookmarkStart w:id="104" w:name="_Toc69987923"/>
      <w:bookmarkStart w:id="105" w:name="_Toc70002645"/>
      <w:r>
        <w:t>4</w:t>
      </w:r>
      <w:r w:rsidRPr="004D60AC">
        <w:t>.2</w:t>
      </w:r>
      <w:r w:rsidRPr="004D60AC">
        <w:tab/>
        <w:t>World Trade Organization (WTO)</w:t>
      </w:r>
      <w:bookmarkEnd w:id="101"/>
      <w:bookmarkEnd w:id="102"/>
      <w:bookmarkEnd w:id="103"/>
      <w:bookmarkEnd w:id="104"/>
      <w:bookmarkEnd w:id="105"/>
    </w:p>
    <w:p w14:paraId="3DFFB047" w14:textId="77777777" w:rsidR="00CE56F5" w:rsidRPr="00362245" w:rsidRDefault="00CE56F5" w:rsidP="008B2B2C">
      <w:pPr>
        <w:widowControl/>
        <w:rPr>
          <w:rFonts w:cs="Arial"/>
          <w:szCs w:val="22"/>
        </w:rPr>
      </w:pPr>
      <w:r w:rsidRPr="004D60AC">
        <w:rPr>
          <w:rFonts w:cs="Arial"/>
          <w:color w:val="000000"/>
          <w:szCs w:val="22"/>
        </w:rPr>
        <w:t xml:space="preserve">As members of the World Trade Organization (WTO), Australia and New Zealand are obliged to notify </w:t>
      </w:r>
      <w:r w:rsidRPr="00362245">
        <w:rPr>
          <w:rFonts w:cs="Arial"/>
          <w:szCs w:val="22"/>
        </w:rPr>
        <w:t>WTO members where proposed mandatory regulatory measures are inconsistent with any existing or imminent international standards and the proposed measure may have a significant effect on trade.</w:t>
      </w:r>
    </w:p>
    <w:p w14:paraId="151A56A2" w14:textId="77777777" w:rsidR="00CE56F5" w:rsidRPr="00362245" w:rsidRDefault="00CE56F5" w:rsidP="008B2B2C">
      <w:pPr>
        <w:widowControl/>
        <w:tabs>
          <w:tab w:val="left" w:pos="1560"/>
        </w:tabs>
        <w:rPr>
          <w:rFonts w:cs="Arial"/>
          <w:szCs w:val="22"/>
        </w:rPr>
      </w:pPr>
    </w:p>
    <w:p w14:paraId="2E7A393A" w14:textId="1547F255" w:rsidR="00CE56F5" w:rsidRPr="004D60AC" w:rsidRDefault="00CE56F5" w:rsidP="008B2B2C">
      <w:pPr>
        <w:widowControl/>
        <w:tabs>
          <w:tab w:val="left" w:pos="1560"/>
        </w:tabs>
        <w:rPr>
          <w:rFonts w:cs="Arial"/>
          <w:iCs/>
          <w:szCs w:val="22"/>
        </w:rPr>
      </w:pPr>
      <w:r w:rsidRPr="00362245">
        <w:rPr>
          <w:rFonts w:cs="Arial"/>
          <w:szCs w:val="22"/>
        </w:rPr>
        <w:t xml:space="preserve">There are not any relevant international standards and amending the Code to </w:t>
      </w:r>
      <w:r w:rsidR="003669BC" w:rsidRPr="00362245">
        <w:rPr>
          <w:rFonts w:cs="Arial"/>
          <w:szCs w:val="22"/>
        </w:rPr>
        <w:t xml:space="preserve">permit method AOAC </w:t>
      </w:r>
      <w:r w:rsidR="003669BC" w:rsidRPr="003669BC">
        <w:rPr>
          <w:rFonts w:cs="Arial"/>
          <w:szCs w:val="22"/>
        </w:rPr>
        <w:t>2017.1</w:t>
      </w:r>
      <w:r w:rsidR="00DC0C7A">
        <w:rPr>
          <w:rFonts w:cs="Arial"/>
          <w:szCs w:val="22"/>
        </w:rPr>
        <w:t>6</w:t>
      </w:r>
      <w:r w:rsidR="003669BC" w:rsidRPr="003669BC">
        <w:rPr>
          <w:rFonts w:cs="Arial"/>
          <w:szCs w:val="22"/>
        </w:rPr>
        <w:t xml:space="preserve"> for the analysis of </w:t>
      </w:r>
      <w:r w:rsidR="00131BC3">
        <w:rPr>
          <w:rFonts w:cs="Arial"/>
          <w:szCs w:val="22"/>
        </w:rPr>
        <w:t>total</w:t>
      </w:r>
      <w:r w:rsidR="003669BC" w:rsidRPr="003669BC">
        <w:rPr>
          <w:rFonts w:cs="Arial"/>
          <w:szCs w:val="22"/>
        </w:rPr>
        <w:t xml:space="preserve"> dietary fibre</w:t>
      </w:r>
      <w:r w:rsidRPr="003669BC">
        <w:rPr>
          <w:rFonts w:cs="Arial"/>
          <w:szCs w:val="22"/>
        </w:rPr>
        <w:t xml:space="preserve"> is unlikely </w:t>
      </w:r>
      <w:r w:rsidRPr="004D60AC">
        <w:rPr>
          <w:rFonts w:cs="Arial"/>
          <w:szCs w:val="22"/>
        </w:rPr>
        <w:t xml:space="preserve">to have a significant effect on international trade as </w:t>
      </w:r>
      <w:r w:rsidR="00952BAB" w:rsidRPr="00362245">
        <w:rPr>
          <w:rFonts w:cs="Arial"/>
          <w:szCs w:val="22"/>
        </w:rPr>
        <w:t xml:space="preserve">method AOAC </w:t>
      </w:r>
      <w:r w:rsidR="00952BAB" w:rsidRPr="003669BC">
        <w:rPr>
          <w:rFonts w:cs="Arial"/>
          <w:szCs w:val="22"/>
        </w:rPr>
        <w:t>2017.1</w:t>
      </w:r>
      <w:r w:rsidR="00952BAB">
        <w:rPr>
          <w:rFonts w:cs="Arial"/>
          <w:szCs w:val="22"/>
        </w:rPr>
        <w:t>6</w:t>
      </w:r>
      <w:r w:rsidR="00952BAB" w:rsidRPr="003669BC">
        <w:rPr>
          <w:rFonts w:cs="Arial"/>
          <w:szCs w:val="22"/>
        </w:rPr>
        <w:t xml:space="preserve"> </w:t>
      </w:r>
      <w:r w:rsidR="00952BAB">
        <w:rPr>
          <w:rFonts w:cs="Arial"/>
          <w:szCs w:val="22"/>
        </w:rPr>
        <w:t xml:space="preserve">would be added to the existing list of </w:t>
      </w:r>
      <w:r w:rsidR="003669BC" w:rsidRPr="00624DD2">
        <w:rPr>
          <w:rFonts w:cs="Arial"/>
          <w:szCs w:val="22"/>
          <w:lang w:val="en-NZ" w:eastAsia="en-NZ" w:bidi="ar-SA"/>
        </w:rPr>
        <w:t>permitted methods of analysis in section S11</w:t>
      </w:r>
      <w:r w:rsidR="003669BC" w:rsidRPr="00624DD2">
        <w:t>—</w:t>
      </w:r>
      <w:r w:rsidR="003669BC" w:rsidRPr="00624DD2">
        <w:rPr>
          <w:rFonts w:cs="Arial"/>
          <w:szCs w:val="22"/>
          <w:lang w:val="en-NZ" w:eastAsia="en-NZ" w:bidi="ar-SA"/>
        </w:rPr>
        <w:t>4</w:t>
      </w:r>
      <w:r w:rsidR="00AF481D">
        <w:rPr>
          <w:rFonts w:cs="Arial"/>
          <w:szCs w:val="22"/>
          <w:lang w:val="en-NZ" w:eastAsia="en-NZ" w:bidi="ar-SA"/>
        </w:rPr>
        <w:t xml:space="preserve"> (as an alternative to those other methods),</w:t>
      </w:r>
      <w:r w:rsidR="003669BC" w:rsidRPr="00624DD2">
        <w:rPr>
          <w:rFonts w:cs="Arial"/>
          <w:szCs w:val="22"/>
          <w:lang w:val="en-NZ" w:eastAsia="en-NZ" w:bidi="ar-SA"/>
        </w:rPr>
        <w:t xml:space="preserve"> </w:t>
      </w:r>
      <w:r w:rsidR="00952BAB">
        <w:rPr>
          <w:rFonts w:cs="Arial"/>
          <w:szCs w:val="22"/>
          <w:lang w:val="en-NZ" w:eastAsia="en-NZ" w:bidi="ar-SA"/>
        </w:rPr>
        <w:t xml:space="preserve">which </w:t>
      </w:r>
      <w:r w:rsidR="003669BC" w:rsidRPr="00624DD2">
        <w:rPr>
          <w:rFonts w:cs="Arial"/>
          <w:szCs w:val="22"/>
          <w:lang w:val="en-NZ" w:eastAsia="en-NZ" w:bidi="ar-SA"/>
        </w:rPr>
        <w:t>are all established as officia</w:t>
      </w:r>
      <w:r w:rsidR="003669BC">
        <w:rPr>
          <w:rFonts w:cs="Arial"/>
          <w:szCs w:val="22"/>
          <w:lang w:val="en-NZ" w:eastAsia="en-NZ" w:bidi="ar-SA"/>
        </w:rPr>
        <w:t>l methods of AOAC International</w:t>
      </w:r>
      <w:r w:rsidRPr="004D60AC">
        <w:rPr>
          <w:rFonts w:cs="Arial"/>
          <w:szCs w:val="22"/>
        </w:rPr>
        <w:t xml:space="preserve">. </w:t>
      </w:r>
      <w:r w:rsidRPr="004D60AC">
        <w:rPr>
          <w:rFonts w:cs="Arial"/>
          <w:iCs/>
          <w:szCs w:val="22"/>
        </w:rPr>
        <w:t xml:space="preserve">Therefore, a notification to the WTO under </w:t>
      </w:r>
      <w:r w:rsidRPr="003669BC">
        <w:rPr>
          <w:rFonts w:cs="Arial"/>
          <w:szCs w:val="22"/>
        </w:rPr>
        <w:t>Australia’s and New Zealand’s</w:t>
      </w:r>
      <w:r w:rsidRPr="003669BC">
        <w:rPr>
          <w:rFonts w:cs="Arial"/>
          <w:iCs/>
          <w:szCs w:val="22"/>
        </w:rPr>
        <w:t xml:space="preserve"> obligations </w:t>
      </w:r>
      <w:r w:rsidRPr="004D60AC">
        <w:rPr>
          <w:rFonts w:cs="Arial"/>
          <w:iCs/>
          <w:szCs w:val="22"/>
        </w:rPr>
        <w:t xml:space="preserve">under the WTO </w:t>
      </w:r>
      <w:r w:rsidRPr="003669BC">
        <w:rPr>
          <w:rFonts w:cs="Arial"/>
          <w:iCs/>
          <w:szCs w:val="22"/>
        </w:rPr>
        <w:t xml:space="preserve">Technical Barriers to Trade or Application of Sanitary and Phytosanitary Measures Agreement </w:t>
      </w:r>
      <w:r w:rsidRPr="004D60AC">
        <w:rPr>
          <w:rFonts w:cs="Arial"/>
          <w:iCs/>
          <w:szCs w:val="22"/>
        </w:rPr>
        <w:t>was not considered necessary.</w:t>
      </w:r>
    </w:p>
    <w:p w14:paraId="21F23EA3" w14:textId="77777777" w:rsidR="00CE56F5" w:rsidRPr="004D60AC" w:rsidRDefault="00CE56F5" w:rsidP="008B2B2C">
      <w:pPr>
        <w:widowControl/>
        <w:tabs>
          <w:tab w:val="left" w:pos="1560"/>
        </w:tabs>
        <w:rPr>
          <w:rFonts w:cs="Arial"/>
          <w:szCs w:val="22"/>
        </w:rPr>
      </w:pPr>
    </w:p>
    <w:p w14:paraId="6559C183" w14:textId="77777777" w:rsidR="00CE56F5" w:rsidRPr="004D60AC" w:rsidRDefault="00CE56F5" w:rsidP="008B2B2C">
      <w:pPr>
        <w:pStyle w:val="Heading1"/>
        <w:widowControl/>
      </w:pPr>
      <w:bookmarkStart w:id="106" w:name="_Toc67321516"/>
      <w:bookmarkStart w:id="107" w:name="_Toc69987924"/>
      <w:bookmarkStart w:id="108" w:name="_Toc70002646"/>
      <w:r>
        <w:t>5</w:t>
      </w:r>
      <w:r w:rsidRPr="004D60AC">
        <w:tab/>
        <w:t>FSANZ Act assessment requirements</w:t>
      </w:r>
      <w:bookmarkEnd w:id="106"/>
      <w:bookmarkEnd w:id="107"/>
      <w:bookmarkEnd w:id="108"/>
    </w:p>
    <w:p w14:paraId="3F61B7AD" w14:textId="77777777" w:rsidR="00CE56F5" w:rsidRPr="00800C0A" w:rsidRDefault="00CE56F5" w:rsidP="008B2B2C">
      <w:pPr>
        <w:widowControl/>
        <w:rPr>
          <w:rFonts w:cs="Arial"/>
          <w:szCs w:val="22"/>
        </w:rPr>
      </w:pPr>
      <w:r w:rsidRPr="00800C0A">
        <w:rPr>
          <w:rFonts w:cs="Arial"/>
          <w:szCs w:val="22"/>
        </w:rPr>
        <w:t xml:space="preserve">When assessing this Application and the subsequent development of a food regulatory measure, FSANZ has had regard to the </w:t>
      </w:r>
      <w:r w:rsidRPr="00800C0A" w:rsidDel="00932F14">
        <w:rPr>
          <w:rFonts w:cs="Arial"/>
          <w:szCs w:val="22"/>
        </w:rPr>
        <w:t xml:space="preserve">following </w:t>
      </w:r>
      <w:r w:rsidRPr="00800C0A">
        <w:rPr>
          <w:rFonts w:cs="Arial"/>
          <w:szCs w:val="22"/>
        </w:rPr>
        <w:t>matters in section 29 of the FSANZ Act:</w:t>
      </w:r>
    </w:p>
    <w:p w14:paraId="22D02FB5" w14:textId="77777777" w:rsidR="00CE56F5" w:rsidRPr="004D60AC" w:rsidRDefault="00CE56F5" w:rsidP="008B2B2C">
      <w:pPr>
        <w:pStyle w:val="Heading2"/>
        <w:widowControl/>
      </w:pPr>
      <w:bookmarkStart w:id="109" w:name="_Toc67321517"/>
      <w:bookmarkStart w:id="110" w:name="_Toc69987925"/>
      <w:bookmarkStart w:id="111" w:name="_Toc70002647"/>
      <w:r>
        <w:t>5.1</w:t>
      </w:r>
      <w:r w:rsidRPr="004D60AC">
        <w:tab/>
        <w:t>Section 29</w:t>
      </w:r>
      <w:bookmarkEnd w:id="109"/>
      <w:bookmarkEnd w:id="110"/>
      <w:bookmarkEnd w:id="111"/>
    </w:p>
    <w:p w14:paraId="27C2EDA6" w14:textId="77777777" w:rsidR="00CE56F5" w:rsidRPr="004D60AC" w:rsidRDefault="00CE56F5" w:rsidP="008B2B2C">
      <w:pPr>
        <w:pStyle w:val="Heading3"/>
        <w:widowControl/>
      </w:pPr>
      <w:bookmarkStart w:id="112" w:name="_Toc67321518"/>
      <w:bookmarkStart w:id="113" w:name="_Toc69987926"/>
      <w:bookmarkStart w:id="114" w:name="_Toc70002648"/>
      <w:r>
        <w:t>5.1.1</w:t>
      </w:r>
      <w:r w:rsidRPr="004D60AC">
        <w:tab/>
        <w:t>Consideration of costs and benefits</w:t>
      </w:r>
      <w:bookmarkEnd w:id="112"/>
      <w:bookmarkEnd w:id="113"/>
      <w:bookmarkEnd w:id="114"/>
    </w:p>
    <w:p w14:paraId="74E047AF" w14:textId="43E45070" w:rsidR="0039368A" w:rsidRPr="00222B4F" w:rsidRDefault="0039368A" w:rsidP="008B2B2C">
      <w:pPr>
        <w:widowControl/>
      </w:pPr>
      <w:r w:rsidRPr="00140661">
        <w:t>The Office of Best Practice Regulation (OBPR) granted FSANZ a standing exemption from the requirement to develop a Regulatory Impact Statement for</w:t>
      </w:r>
      <w:r w:rsidR="006D243A">
        <w:t xml:space="preserve"> applications requesting the use of </w:t>
      </w:r>
      <w:r w:rsidR="00317735">
        <w:t xml:space="preserve">optional methods of analysis </w:t>
      </w:r>
      <w:r w:rsidRPr="00317735">
        <w:t>(OBPR correspondence dated</w:t>
      </w:r>
      <w:r w:rsidR="006D243A">
        <w:t xml:space="preserve"> 16 April 2013, reference number 14943). </w:t>
      </w:r>
      <w:r w:rsidRPr="00317735">
        <w:t xml:space="preserve">This standing exemption was provided as permitting the </w:t>
      </w:r>
      <w:r w:rsidR="006D243A">
        <w:t xml:space="preserve">optional method of </w:t>
      </w:r>
      <w:r w:rsidR="006D243A" w:rsidRPr="00222B4F">
        <w:t xml:space="preserve">analysis is </w:t>
      </w:r>
      <w:r w:rsidR="00ED3326">
        <w:t xml:space="preserve">voluntary and </w:t>
      </w:r>
      <w:r w:rsidR="006D243A" w:rsidRPr="00222B4F">
        <w:t xml:space="preserve">likely to not have more than a minor economic impact on businesses or individuals. </w:t>
      </w:r>
    </w:p>
    <w:p w14:paraId="22325229" w14:textId="77777777" w:rsidR="006D243A" w:rsidRPr="00222B4F" w:rsidRDefault="006D243A" w:rsidP="008B2B2C">
      <w:pPr>
        <w:widowControl/>
      </w:pPr>
    </w:p>
    <w:p w14:paraId="5B2AF1D1" w14:textId="04C20AFD" w:rsidR="0039368A" w:rsidRDefault="0039368A" w:rsidP="008B2B2C">
      <w:pPr>
        <w:widowControl/>
        <w:rPr>
          <w:rFonts w:cs="Arial"/>
        </w:rPr>
      </w:pPr>
      <w:r w:rsidRPr="00222B4F">
        <w:rPr>
          <w:rFonts w:cs="Arial"/>
        </w:rPr>
        <w:lastRenderedPageBreak/>
        <w:t xml:space="preserve">FSANZ, however, has given consideration to the costs and benefits that may arise from the proposed </w:t>
      </w:r>
      <w:r w:rsidRPr="00A55542">
        <w:rPr>
          <w:rFonts w:cs="Arial"/>
        </w:rPr>
        <w:t xml:space="preserve">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t>(</w:t>
      </w:r>
      <w:r w:rsidR="000F1BAD">
        <w:t xml:space="preserve">paragraph </w:t>
      </w:r>
      <w:r>
        <w:t>29(2)(a))</w:t>
      </w:r>
      <w:r>
        <w:rPr>
          <w:rFonts w:cs="Arial"/>
        </w:rPr>
        <w:t xml:space="preserve">. </w:t>
      </w:r>
    </w:p>
    <w:p w14:paraId="1B4A3A30" w14:textId="77777777" w:rsidR="006D243A" w:rsidRDefault="006D243A" w:rsidP="008B2B2C">
      <w:pPr>
        <w:widowControl/>
      </w:pPr>
    </w:p>
    <w:p w14:paraId="198BD8D6" w14:textId="313D5298" w:rsidR="0039368A" w:rsidRDefault="0039368A" w:rsidP="008B2B2C">
      <w:pPr>
        <w:widowControl/>
      </w:pPr>
      <w:r>
        <w:t xml:space="preserve">The purpose of this consideration is to determine if the community, government, and industry as a whole is likely to benefit, on balance, from a move from </w:t>
      </w:r>
      <w:r w:rsidR="00E72A80">
        <w:t xml:space="preserve">option 1 - </w:t>
      </w:r>
      <w:r>
        <w:t xml:space="preserve">status quo </w:t>
      </w:r>
      <w:r w:rsidRPr="006D243A">
        <w:t>(rejecting the application)</w:t>
      </w:r>
      <w:r>
        <w:t xml:space="preserve">. This analysis considers </w:t>
      </w:r>
      <w:r w:rsidR="000974BC">
        <w:t xml:space="preserve">two </w:t>
      </w:r>
      <w:r w:rsidR="00F414C7">
        <w:t xml:space="preserve">alternative </w:t>
      </w:r>
      <w:r w:rsidR="006D243A">
        <w:t>options</w:t>
      </w:r>
      <w:r w:rsidR="00F414C7">
        <w:t xml:space="preserve"> to the status quo</w:t>
      </w:r>
      <w:r w:rsidR="00FC42F5">
        <w:t>:</w:t>
      </w:r>
      <w:r w:rsidR="006D243A">
        <w:t xml:space="preserve"> </w:t>
      </w:r>
      <w:r w:rsidR="00E72A80">
        <w:t xml:space="preserve">approving the </w:t>
      </w:r>
      <w:r w:rsidR="00E72A80" w:rsidDel="00702DA0">
        <w:t xml:space="preserve">application with </w:t>
      </w:r>
      <w:r w:rsidR="00E72A80">
        <w:t xml:space="preserve">restrictions on using AOAC 2017.16 for foods containing </w:t>
      </w:r>
      <w:r w:rsidR="00E72A80" w:rsidRPr="00222B4F">
        <w:t>GOS</w:t>
      </w:r>
      <w:r w:rsidR="00AE2A64">
        <w:t xml:space="preserve"> and IMO</w:t>
      </w:r>
      <w:r w:rsidR="00E72A80">
        <w:t xml:space="preserve">; or </w:t>
      </w:r>
      <w:r w:rsidR="00702DA0">
        <w:t>approving the application as it stands</w:t>
      </w:r>
      <w:r w:rsidR="000974BC">
        <w:t xml:space="preserve">. </w:t>
      </w:r>
      <w:r>
        <w:t>FSANZ is of the view that no other realistic food regulatory measures exist, however information received may result in FSANZ arriving at a different outcome.</w:t>
      </w:r>
    </w:p>
    <w:p w14:paraId="25B2BA7C" w14:textId="77777777" w:rsidR="006D243A" w:rsidRDefault="006D243A" w:rsidP="008B2B2C">
      <w:pPr>
        <w:widowControl/>
      </w:pPr>
    </w:p>
    <w:p w14:paraId="250A5187" w14:textId="678D0212" w:rsidR="0039368A" w:rsidRDefault="0039368A" w:rsidP="008B2B2C">
      <w:pPr>
        <w:widowControl/>
      </w:pPr>
      <w:r w:rsidRPr="00824CF4">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w:t>
      </w:r>
      <w:r w:rsidR="00E016A7">
        <w:t>considering the two alternative options</w:t>
      </w:r>
      <w:r w:rsidRPr="00824CF4">
        <w:t>.</w:t>
      </w:r>
    </w:p>
    <w:p w14:paraId="04B9D71C" w14:textId="074C37C8" w:rsidR="00EC51F8" w:rsidRPr="008D20AD" w:rsidRDefault="00E046A2" w:rsidP="00E046A2">
      <w:pPr>
        <w:pStyle w:val="Heading4"/>
        <w:ind w:left="0" w:firstLine="0"/>
        <w:rPr>
          <w:b w:val="0"/>
        </w:rPr>
      </w:pPr>
      <w:r w:rsidRPr="008D20AD">
        <w:rPr>
          <w:b w:val="0"/>
        </w:rPr>
        <w:t xml:space="preserve">Costs and benefits of Option 2 </w:t>
      </w:r>
      <w:r w:rsidR="0018699A" w:rsidRPr="008D20AD">
        <w:rPr>
          <w:b w:val="0"/>
        </w:rPr>
        <w:t>–</w:t>
      </w:r>
      <w:r w:rsidR="00EC51F8" w:rsidRPr="008D20AD">
        <w:rPr>
          <w:b w:val="0"/>
        </w:rPr>
        <w:t xml:space="preserve"> </w:t>
      </w:r>
      <w:r w:rsidR="009D756C" w:rsidRPr="008D20AD">
        <w:rPr>
          <w:b w:val="0"/>
        </w:rPr>
        <w:t xml:space="preserve">Permit AOAC 2017.16 as a </w:t>
      </w:r>
      <w:r w:rsidR="001F7AC7" w:rsidRPr="008D20AD">
        <w:rPr>
          <w:b w:val="0"/>
        </w:rPr>
        <w:t xml:space="preserve">dietary fibre </w:t>
      </w:r>
      <w:r w:rsidR="009D756C" w:rsidRPr="008D20AD">
        <w:rPr>
          <w:b w:val="0"/>
        </w:rPr>
        <w:t>method of analysis with restrictions against its use on foods containing GOS</w:t>
      </w:r>
      <w:r w:rsidR="00AE2A64">
        <w:rPr>
          <w:b w:val="0"/>
        </w:rPr>
        <w:t xml:space="preserve"> and IMO</w:t>
      </w:r>
      <w:r w:rsidR="009D756C" w:rsidRPr="008D20AD">
        <w:rPr>
          <w:b w:val="0"/>
        </w:rPr>
        <w:t>.</w:t>
      </w:r>
    </w:p>
    <w:p w14:paraId="67168042" w14:textId="3DC0A16A" w:rsidR="00B94D2A" w:rsidRDefault="00B94D2A" w:rsidP="00B94D2A">
      <w:r>
        <w:t xml:space="preserve">This option permits the use of AOAC 2017.16 with the condition that foods </w:t>
      </w:r>
      <w:r w:rsidR="00F66C41">
        <w:t>containing</w:t>
      </w:r>
      <w:r>
        <w:t xml:space="preserve"> GOS</w:t>
      </w:r>
      <w:r w:rsidR="00B5114A">
        <w:t xml:space="preserve"> and IMO</w:t>
      </w:r>
      <w:r>
        <w:t xml:space="preserve"> would be excluded from using the method of analysis. </w:t>
      </w:r>
    </w:p>
    <w:p w14:paraId="43B1D23E" w14:textId="2CC4218C" w:rsidR="00B94D2A" w:rsidRDefault="00B94D2A" w:rsidP="00B94D2A"/>
    <w:p w14:paraId="3D1FC0FA" w14:textId="4F98F7D4" w:rsidR="0065275A" w:rsidRDefault="00EC6889" w:rsidP="00EC6889">
      <w:r>
        <w:t xml:space="preserve">Industry will benefit from having an additional </w:t>
      </w:r>
      <w:r w:rsidR="00645053">
        <w:rPr>
          <w:lang w:eastAsia="en-AU"/>
        </w:rPr>
        <w:t xml:space="preserve">total </w:t>
      </w:r>
      <w:r>
        <w:rPr>
          <w:lang w:eastAsia="en-AU"/>
        </w:rPr>
        <w:t xml:space="preserve">dietary fibre method of analysis </w:t>
      </w:r>
      <w:r w:rsidR="00645053">
        <w:rPr>
          <w:lang w:eastAsia="en-AU"/>
        </w:rPr>
        <w:t>permit</w:t>
      </w:r>
      <w:r w:rsidR="005A03F5">
        <w:rPr>
          <w:lang w:eastAsia="en-AU"/>
        </w:rPr>
        <w:t>ted</w:t>
      </w:r>
      <w:r w:rsidR="00645053">
        <w:rPr>
          <w:lang w:eastAsia="en-AU"/>
        </w:rPr>
        <w:t xml:space="preserve"> by the Code</w:t>
      </w:r>
      <w:r>
        <w:rPr>
          <w:lang w:eastAsia="en-AU"/>
        </w:rPr>
        <w:t xml:space="preserve">. </w:t>
      </w:r>
      <w:r>
        <w:t xml:space="preserve">Each of the methods of analysis are better suited to certain circumstances. </w:t>
      </w:r>
      <w:r>
        <w:rPr>
          <w:szCs w:val="22"/>
        </w:rPr>
        <w:t xml:space="preserve">Due to the voluntary nature of the permission, industry will choose the method of analysis </w:t>
      </w:r>
      <w:r>
        <w:t>likely to provide them the most benefit.</w:t>
      </w:r>
      <w:r w:rsidR="0065275A">
        <w:t xml:space="preserve"> </w:t>
      </w:r>
    </w:p>
    <w:p w14:paraId="49BD8DFB" w14:textId="77777777" w:rsidR="0065275A" w:rsidRDefault="0065275A" w:rsidP="001F7AC7"/>
    <w:p w14:paraId="038582E5" w14:textId="48FD1997" w:rsidR="001F7AC7" w:rsidRDefault="0065275A" w:rsidP="001F7AC7">
      <w:r>
        <w:t>P</w:t>
      </w:r>
      <w:r w:rsidR="001F7AC7">
        <w:t>roducts containing GOS</w:t>
      </w:r>
      <w:r w:rsidR="00AE2A64">
        <w:t xml:space="preserve"> and IMO</w:t>
      </w:r>
      <w:r w:rsidR="001F7AC7">
        <w:t xml:space="preserve"> would not </w:t>
      </w:r>
      <w:r w:rsidR="00B076A9">
        <w:t>be permitted to use AOAC 2017.16</w:t>
      </w:r>
      <w:r w:rsidR="001F7AC7">
        <w:t>.</w:t>
      </w:r>
    </w:p>
    <w:p w14:paraId="72D4A66E" w14:textId="7BE0D2D0" w:rsidR="0033528B" w:rsidRDefault="0033528B" w:rsidP="001F7AC7"/>
    <w:p w14:paraId="3BBCCA84" w14:textId="09C3A865" w:rsidR="0033528B" w:rsidRDefault="0033528B" w:rsidP="0033528B">
      <w:r>
        <w:t xml:space="preserve">The divergence of the treatment of GOS </w:t>
      </w:r>
      <w:r w:rsidR="00AE2A64">
        <w:t xml:space="preserve">and IMO </w:t>
      </w:r>
      <w:r>
        <w:t xml:space="preserve">with some of our major trading partners will not encourage trade in foods with </w:t>
      </w:r>
      <w:r w:rsidR="00AE2A64">
        <w:t xml:space="preserve">these </w:t>
      </w:r>
      <w:r>
        <w:t xml:space="preserve">added </w:t>
      </w:r>
      <w:r w:rsidR="00AE2A64">
        <w:t>oligosaccharides that</w:t>
      </w:r>
      <w:r w:rsidR="005A03F5">
        <w:t xml:space="preserve"> include, or would prefer to include, GOS</w:t>
      </w:r>
      <w:r w:rsidR="00AE2A64">
        <w:t>/IMO</w:t>
      </w:r>
      <w:r w:rsidR="005A03F5">
        <w:t xml:space="preserve"> in the dietary fibre declaration for international markets</w:t>
      </w:r>
      <w:r>
        <w:t>. Where products with added GOS</w:t>
      </w:r>
      <w:r w:rsidR="00AE2A64">
        <w:t>/IMO</w:t>
      </w:r>
      <w:r>
        <w:t xml:space="preserve"> are traded, and declare </w:t>
      </w:r>
      <w:r w:rsidR="00131BC3">
        <w:t>total</w:t>
      </w:r>
      <w:r>
        <w:t xml:space="preserve"> dietary fibre on their NIP, they may choose to use differing methods of analysis for the different markets and hence require different labels. </w:t>
      </w:r>
    </w:p>
    <w:p w14:paraId="410CFF35" w14:textId="77777777" w:rsidR="001F7AC7" w:rsidRDefault="001F7AC7" w:rsidP="001F7AC7"/>
    <w:p w14:paraId="66277495" w14:textId="195AB42A" w:rsidR="0033528B" w:rsidRDefault="0033528B" w:rsidP="001F7AC7">
      <w:r>
        <w:t xml:space="preserve">Consumers are unlikely to be </w:t>
      </w:r>
      <w:r w:rsidR="00FD4641">
        <w:t xml:space="preserve">adversely </w:t>
      </w:r>
      <w:r>
        <w:t xml:space="preserve">affected by this option. Consumers wishing to consume a certain amount of dietary fibre, as currently defined by the Code, will be able to do so using the NIP. However there is variability in the determinations of </w:t>
      </w:r>
      <w:r w:rsidR="00131BC3">
        <w:t>total</w:t>
      </w:r>
      <w:r>
        <w:t xml:space="preserve"> dietary fibre across the methods</w:t>
      </w:r>
      <w:r w:rsidR="005A11B0">
        <w:t>. For instance, m</w:t>
      </w:r>
      <w:r>
        <w:t xml:space="preserve">ethods AOAC 985.29 and 991.43 may underestimate </w:t>
      </w:r>
      <w:r w:rsidR="00131BC3">
        <w:t>total</w:t>
      </w:r>
      <w:r>
        <w:t xml:space="preserve"> dietary fibre unless used in combination with </w:t>
      </w:r>
      <w:r w:rsidR="00347AC8" w:rsidRPr="001A31D4">
        <w:t>individual methods of analysis for specifically named dietary fibre</w:t>
      </w:r>
      <w:r>
        <w:t>.</w:t>
      </w:r>
    </w:p>
    <w:p w14:paraId="542EBC53" w14:textId="77777777" w:rsidR="0033528B" w:rsidRDefault="0033528B" w:rsidP="001F7AC7"/>
    <w:p w14:paraId="6A8E7CFD" w14:textId="12FEB2A8" w:rsidR="004B7C6A" w:rsidRPr="00086A52" w:rsidRDefault="001E38F7" w:rsidP="00086A52">
      <w:r>
        <w:t>Option</w:t>
      </w:r>
      <w:r w:rsidR="00B5114A">
        <w:t xml:space="preserve"> </w:t>
      </w:r>
      <w:r>
        <w:t>2</w:t>
      </w:r>
      <w:r w:rsidR="0065275A">
        <w:t xml:space="preserve"> introduces complexity into regulat</w:t>
      </w:r>
      <w:r w:rsidR="002549BA">
        <w:t>ory enforcement</w:t>
      </w:r>
      <w:r w:rsidR="0065275A">
        <w:t xml:space="preserve"> as only some products would be entitled to use AOAC 2017.16.</w:t>
      </w:r>
      <w:r w:rsidR="0033528B">
        <w:t xml:space="preserve"> </w:t>
      </w:r>
      <w:r>
        <w:t>As stated above, if this option is chosen, consideration of imposing the same restriction on method AOAC 2001.03, which is already permitted in the Code, will need to be addressed. It is expected that this would place a similar burden on government regulatory agencies</w:t>
      </w:r>
      <w:r w:rsidR="00FD4641">
        <w:t xml:space="preserve"> as AOAC 2017.16, and additionally </w:t>
      </w:r>
      <w:r>
        <w:rPr>
          <w:lang w:eastAsia="en-AU" w:bidi="ar-SA"/>
        </w:rPr>
        <w:t xml:space="preserve">impact manufacturers who currently use AOAC 2001.03 </w:t>
      </w:r>
      <w:r w:rsidR="00FD4641">
        <w:rPr>
          <w:lang w:eastAsia="en-AU" w:bidi="ar-SA"/>
        </w:rPr>
        <w:t xml:space="preserve">as they would have to revert to using older, less comprehensive methods permitted in the Code for total dietary fibre analysis. </w:t>
      </w:r>
    </w:p>
    <w:p w14:paraId="2AD84EDE" w14:textId="7128EE8E" w:rsidR="00C372F3" w:rsidRPr="008D20AD" w:rsidRDefault="00C372F3" w:rsidP="00E046A2">
      <w:pPr>
        <w:pStyle w:val="Heading5"/>
        <w:ind w:left="0" w:firstLine="0"/>
      </w:pPr>
      <w:r>
        <w:lastRenderedPageBreak/>
        <w:t xml:space="preserve">Costs and benefits of Option </w:t>
      </w:r>
      <w:r w:rsidR="009D756C">
        <w:t xml:space="preserve">3 </w:t>
      </w:r>
      <w:r>
        <w:t xml:space="preserve">– </w:t>
      </w:r>
      <w:r w:rsidR="009D756C" w:rsidRPr="008D5DD7">
        <w:t xml:space="preserve">Permit AOAC 2017.16 without </w:t>
      </w:r>
      <w:r w:rsidR="009D756C" w:rsidRPr="008D20AD">
        <w:t>restrictions</w:t>
      </w:r>
      <w:r w:rsidRPr="008D20AD">
        <w:t xml:space="preserve"> </w:t>
      </w:r>
    </w:p>
    <w:p w14:paraId="370CF3B1" w14:textId="3A013527" w:rsidR="00C372F3" w:rsidRDefault="00645053" w:rsidP="00C372F3">
      <w:r>
        <w:t xml:space="preserve">Industry will benefit from having an additional </w:t>
      </w:r>
      <w:r>
        <w:rPr>
          <w:lang w:eastAsia="en-AU"/>
        </w:rPr>
        <w:t>total dietary fibre method of analysis permit</w:t>
      </w:r>
      <w:r w:rsidR="002549BA">
        <w:rPr>
          <w:lang w:eastAsia="en-AU"/>
        </w:rPr>
        <w:t>ted</w:t>
      </w:r>
      <w:r>
        <w:rPr>
          <w:lang w:eastAsia="en-AU"/>
        </w:rPr>
        <w:t xml:space="preserve"> by the Code. </w:t>
      </w:r>
      <w:r w:rsidR="0046543E">
        <w:t xml:space="preserve">Each of the methods of analysis are better suited to certain circumstances. </w:t>
      </w:r>
      <w:r w:rsidR="00C372F3">
        <w:rPr>
          <w:szCs w:val="22"/>
        </w:rPr>
        <w:t xml:space="preserve">Due to the voluntary nature of the permission, industry will choose the method of analysis </w:t>
      </w:r>
      <w:r w:rsidR="00C372F3">
        <w:t>likely to provide them the most benefit.</w:t>
      </w:r>
    </w:p>
    <w:p w14:paraId="06ED91A4" w14:textId="77777777" w:rsidR="00C372F3" w:rsidRDefault="00C372F3" w:rsidP="00C372F3"/>
    <w:p w14:paraId="7A8975D0" w14:textId="7E6969E6" w:rsidR="0046543E" w:rsidRDefault="0046543E" w:rsidP="0046543E">
      <w:pPr>
        <w:rPr>
          <w:rFonts w:cs="Arial"/>
        </w:rPr>
      </w:pPr>
      <w:r w:rsidRPr="001B0B45">
        <w:rPr>
          <w:rFonts w:cs="Arial"/>
        </w:rPr>
        <w:t>International definitions of dietary fibre differ, and GOS</w:t>
      </w:r>
      <w:r w:rsidR="00AE2A64">
        <w:rPr>
          <w:rFonts w:cs="Arial"/>
        </w:rPr>
        <w:t>/IMO</w:t>
      </w:r>
      <w:r w:rsidRPr="001B0B45">
        <w:rPr>
          <w:rFonts w:cs="Arial"/>
        </w:rPr>
        <w:t xml:space="preserve"> </w:t>
      </w:r>
      <w:r w:rsidR="00AE2A64">
        <w:rPr>
          <w:rFonts w:cs="Arial"/>
        </w:rPr>
        <w:t>are</w:t>
      </w:r>
      <w:r w:rsidRPr="001B0B45">
        <w:rPr>
          <w:rFonts w:cs="Arial"/>
        </w:rPr>
        <w:t xml:space="preserve"> considered to be a dietary fibre in </w:t>
      </w:r>
      <w:r w:rsidR="00AE2A64">
        <w:rPr>
          <w:rFonts w:cs="Arial"/>
        </w:rPr>
        <w:t xml:space="preserve">some </w:t>
      </w:r>
      <w:r w:rsidRPr="001B0B45">
        <w:rPr>
          <w:rFonts w:cs="Arial"/>
        </w:rPr>
        <w:t>comparable economies. GOS</w:t>
      </w:r>
      <w:r w:rsidR="00A13213">
        <w:rPr>
          <w:rFonts w:cs="Arial"/>
        </w:rPr>
        <w:t>/IMO</w:t>
      </w:r>
      <w:r w:rsidRPr="001B0B45">
        <w:rPr>
          <w:rFonts w:cs="Arial"/>
        </w:rPr>
        <w:t xml:space="preserve"> </w:t>
      </w:r>
      <w:r w:rsidR="00AE2A64">
        <w:rPr>
          <w:rFonts w:cs="Arial"/>
        </w:rPr>
        <w:t>are</w:t>
      </w:r>
      <w:r w:rsidRPr="001B0B45">
        <w:rPr>
          <w:rFonts w:cs="Arial"/>
        </w:rPr>
        <w:t xml:space="preserve"> reported</w:t>
      </w:r>
      <w:r w:rsidR="00A13213">
        <w:rPr>
          <w:rFonts w:cs="Arial"/>
        </w:rPr>
        <w:t xml:space="preserve"> to be more commonly added as </w:t>
      </w:r>
      <w:r w:rsidRPr="001B0B45">
        <w:rPr>
          <w:rFonts w:cs="Arial"/>
        </w:rPr>
        <w:t>ingredient</w:t>
      </w:r>
      <w:r w:rsidR="00A13213">
        <w:rPr>
          <w:rFonts w:cs="Arial"/>
        </w:rPr>
        <w:t>s</w:t>
      </w:r>
      <w:r w:rsidRPr="001B0B45">
        <w:rPr>
          <w:rFonts w:cs="Arial"/>
        </w:rPr>
        <w:t xml:space="preserve"> internationally.</w:t>
      </w:r>
      <w:r>
        <w:rPr>
          <w:rFonts w:cs="Arial"/>
        </w:rPr>
        <w:t xml:space="preserve"> </w:t>
      </w:r>
      <w:r w:rsidR="008228D9">
        <w:rPr>
          <w:rFonts w:cs="Arial"/>
        </w:rPr>
        <w:t xml:space="preserve">Unlike Option 2, this </w:t>
      </w:r>
      <w:r>
        <w:rPr>
          <w:rFonts w:cs="Arial"/>
        </w:rPr>
        <w:t xml:space="preserve">option </w:t>
      </w:r>
      <w:r w:rsidR="00CE6334">
        <w:rPr>
          <w:rFonts w:cs="Arial"/>
        </w:rPr>
        <w:t xml:space="preserve">would </w:t>
      </w:r>
      <w:r>
        <w:rPr>
          <w:rFonts w:cs="Arial"/>
        </w:rPr>
        <w:t>not be a barrier to trade in foods containing GOS</w:t>
      </w:r>
      <w:r w:rsidR="00A13213">
        <w:rPr>
          <w:rFonts w:cs="Arial"/>
        </w:rPr>
        <w:t>/IMO</w:t>
      </w:r>
      <w:r>
        <w:rPr>
          <w:rFonts w:cs="Arial"/>
        </w:rPr>
        <w:t>.</w:t>
      </w:r>
    </w:p>
    <w:p w14:paraId="39AEF15D" w14:textId="77777777" w:rsidR="002D3B05" w:rsidRDefault="002D3B05" w:rsidP="00C372F3"/>
    <w:p w14:paraId="21322A0C" w14:textId="3888F76E" w:rsidR="000E491E" w:rsidRDefault="00EC6889" w:rsidP="00C372F3">
      <w:r w:rsidRPr="00EC6889">
        <w:t xml:space="preserve">Consumers are unlikely to be </w:t>
      </w:r>
      <w:r w:rsidR="00E40C03">
        <w:t>adversely</w:t>
      </w:r>
      <w:r w:rsidR="00E40C03" w:rsidRPr="00EC6889">
        <w:t xml:space="preserve"> </w:t>
      </w:r>
      <w:r w:rsidRPr="00EC6889">
        <w:t xml:space="preserve">affected by this option. Any overestimate of </w:t>
      </w:r>
      <w:r w:rsidR="00131BC3">
        <w:t>total</w:t>
      </w:r>
      <w:r w:rsidRPr="00EC6889">
        <w:t xml:space="preserve"> dietary fibre </w:t>
      </w:r>
      <w:r w:rsidR="004C48B2">
        <w:t>would</w:t>
      </w:r>
      <w:r w:rsidR="004C48B2" w:rsidRPr="00EC6889">
        <w:t xml:space="preserve"> </w:t>
      </w:r>
      <w:r w:rsidRPr="00EC6889">
        <w:t>only occur on foods containing GOS</w:t>
      </w:r>
      <w:r w:rsidR="00890E63">
        <w:t xml:space="preserve"> (and</w:t>
      </w:r>
      <w:r w:rsidR="00A13213">
        <w:t xml:space="preserve"> IMO</w:t>
      </w:r>
      <w:r w:rsidR="00890E63">
        <w:t>, noting FSANZ has not assessed it against the Code’s definition of dietary fibre</w:t>
      </w:r>
      <w:r w:rsidR="00A13213">
        <w:t>)</w:t>
      </w:r>
      <w:r w:rsidRPr="00EC6889">
        <w:t xml:space="preserve">, and this is likely to be proportionate to the existing variance in </w:t>
      </w:r>
      <w:r w:rsidR="00131BC3">
        <w:t>total</w:t>
      </w:r>
      <w:r w:rsidRPr="00EC6889">
        <w:t xml:space="preserve"> dietary fibre values presented on NIPs using older methods (including a potential underestimate of </w:t>
      </w:r>
      <w:r w:rsidR="00131BC3">
        <w:t>total</w:t>
      </w:r>
      <w:r w:rsidRPr="00EC6889">
        <w:t xml:space="preserve"> dietary fibre).</w:t>
      </w:r>
    </w:p>
    <w:p w14:paraId="3125E0E1" w14:textId="368C2686" w:rsidR="00B72704" w:rsidRDefault="00B72704" w:rsidP="00C372F3"/>
    <w:p w14:paraId="30A729AA" w14:textId="2A13BA16" w:rsidR="00B72704" w:rsidRDefault="00B72704" w:rsidP="00C372F3">
      <w:r>
        <w:t>Adopting Option 2 would, for consistency, require the same considerations of restrictions on AOAC 2001.03 as under the Status Quo. Additionally, Option 2 would permit another voluntary method (AOAC 2017.16), giving potential net benefits to industry compared to the Status Quo</w:t>
      </w:r>
      <w:r w:rsidR="00967212">
        <w:t>, whilst noting government enforcement agencies are unlikely to be significantly affected by this option</w:t>
      </w:r>
      <w:r>
        <w:t>.</w:t>
      </w:r>
    </w:p>
    <w:p w14:paraId="19F330C4" w14:textId="6AAA81E4" w:rsidR="0039368A" w:rsidRPr="004C6424" w:rsidRDefault="0039368A" w:rsidP="00E66803">
      <w:pPr>
        <w:pStyle w:val="Heading5"/>
        <w:widowControl/>
        <w:rPr>
          <w:b/>
        </w:rPr>
      </w:pPr>
      <w:r w:rsidRPr="004C6424">
        <w:rPr>
          <w:b/>
        </w:rPr>
        <w:t>Conclusions from cost benefit considerations</w:t>
      </w:r>
    </w:p>
    <w:p w14:paraId="21A287A0" w14:textId="75B1A233" w:rsidR="0039368A" w:rsidRDefault="0039368A" w:rsidP="00E66803">
      <w:pPr>
        <w:widowControl/>
        <w:rPr>
          <w:bCs/>
        </w:rPr>
      </w:pPr>
      <w:r w:rsidRPr="00E929E9">
        <w:rPr>
          <w:bCs/>
        </w:rPr>
        <w:t>FSANZ’</w:t>
      </w:r>
      <w:r w:rsidR="00E046A2">
        <w:rPr>
          <w:bCs/>
        </w:rPr>
        <w:t>s</w:t>
      </w:r>
      <w:r w:rsidRPr="00E929E9">
        <w:rPr>
          <w:bCs/>
        </w:rPr>
        <w:t xml:space="preserve"> assessment is that the direct and indirect benefits that would arise from </w:t>
      </w:r>
      <w:r w:rsidR="00881D28">
        <w:rPr>
          <w:bCs/>
        </w:rPr>
        <w:t xml:space="preserve">both </w:t>
      </w:r>
      <w:r w:rsidR="00881D28" w:rsidRPr="00906194">
        <w:rPr>
          <w:bCs/>
        </w:rPr>
        <w:t>Option</w:t>
      </w:r>
      <w:r w:rsidR="00906194" w:rsidRPr="00906194">
        <w:rPr>
          <w:bCs/>
        </w:rPr>
        <w:t>s</w:t>
      </w:r>
      <w:r w:rsidR="00881D28">
        <w:rPr>
          <w:bCs/>
        </w:rPr>
        <w:t> </w:t>
      </w:r>
      <w:r w:rsidR="00C33DF7">
        <w:rPr>
          <w:bCs/>
        </w:rPr>
        <w:t xml:space="preserve">2 </w:t>
      </w:r>
      <w:r w:rsidR="00881D28">
        <w:rPr>
          <w:bCs/>
        </w:rPr>
        <w:t xml:space="preserve">and </w:t>
      </w:r>
      <w:r w:rsidR="00C33DF7">
        <w:rPr>
          <w:bCs/>
        </w:rPr>
        <w:t>3</w:t>
      </w:r>
      <w:r w:rsidR="00881D28">
        <w:rPr>
          <w:rFonts w:cs="Arial"/>
          <w:bCs/>
          <w:szCs w:val="22"/>
        </w:rPr>
        <w:t xml:space="preserve">, </w:t>
      </w:r>
      <w:r w:rsidRPr="00E929E9">
        <w:rPr>
          <w:bCs/>
        </w:rPr>
        <w:t>most likely outweigh the</w:t>
      </w:r>
      <w:r>
        <w:rPr>
          <w:bCs/>
        </w:rPr>
        <w:t xml:space="preserve"> associated</w:t>
      </w:r>
      <w:r w:rsidRPr="00E929E9">
        <w:rPr>
          <w:bCs/>
        </w:rPr>
        <w:t xml:space="preserve"> costs.</w:t>
      </w:r>
      <w:r w:rsidR="00881D28">
        <w:rPr>
          <w:bCs/>
        </w:rPr>
        <w:t xml:space="preserve"> </w:t>
      </w:r>
    </w:p>
    <w:p w14:paraId="50312930" w14:textId="06FC0433" w:rsidR="00881D28" w:rsidRDefault="00881D28" w:rsidP="00E66803">
      <w:pPr>
        <w:widowControl/>
        <w:rPr>
          <w:bCs/>
        </w:rPr>
      </w:pPr>
    </w:p>
    <w:p w14:paraId="3F77A136" w14:textId="2496FE42" w:rsidR="00881D28" w:rsidRDefault="00014FFE" w:rsidP="00E66803">
      <w:pPr>
        <w:widowControl/>
        <w:rPr>
          <w:bCs/>
        </w:rPr>
      </w:pPr>
      <w:r>
        <w:rPr>
          <w:bCs/>
        </w:rPr>
        <w:t xml:space="preserve">However, Option </w:t>
      </w:r>
      <w:r w:rsidR="00C33DF7">
        <w:rPr>
          <w:bCs/>
        </w:rPr>
        <w:t xml:space="preserve">3 </w:t>
      </w:r>
      <w:r w:rsidR="00881D28">
        <w:rPr>
          <w:bCs/>
        </w:rPr>
        <w:t>provides more flexibility for industry</w:t>
      </w:r>
      <w:r w:rsidR="00906194">
        <w:rPr>
          <w:bCs/>
        </w:rPr>
        <w:t>, no further burden on enforcement agencies tha</w:t>
      </w:r>
      <w:r w:rsidR="001259C2">
        <w:rPr>
          <w:bCs/>
        </w:rPr>
        <w:t>n</w:t>
      </w:r>
      <w:r w:rsidR="00906194">
        <w:rPr>
          <w:bCs/>
        </w:rPr>
        <w:t xml:space="preserve"> existing methods in the Code,</w:t>
      </w:r>
      <w:r w:rsidR="00881D28">
        <w:rPr>
          <w:bCs/>
        </w:rPr>
        <w:t xml:space="preserve"> and </w:t>
      </w:r>
      <w:r w:rsidR="00906194" w:rsidRPr="00906194">
        <w:rPr>
          <w:bCs/>
        </w:rPr>
        <w:t xml:space="preserve">on balance </w:t>
      </w:r>
      <w:r w:rsidR="00881D28">
        <w:rPr>
          <w:bCs/>
        </w:rPr>
        <w:t xml:space="preserve">is likely to provide the greatest net </w:t>
      </w:r>
      <w:r w:rsidR="00881D28" w:rsidRPr="00906194">
        <w:rPr>
          <w:bCs/>
        </w:rPr>
        <w:t>benefi</w:t>
      </w:r>
      <w:r w:rsidR="001259C2">
        <w:rPr>
          <w:bCs/>
        </w:rPr>
        <w:t>t</w:t>
      </w:r>
      <w:r w:rsidR="00881D28" w:rsidRPr="00906194">
        <w:rPr>
          <w:bCs/>
        </w:rPr>
        <w:t>.</w:t>
      </w:r>
      <w:r w:rsidR="00881D28">
        <w:rPr>
          <w:bCs/>
        </w:rPr>
        <w:t xml:space="preserve"> </w:t>
      </w:r>
    </w:p>
    <w:p w14:paraId="11996F59" w14:textId="77777777" w:rsidR="00881D28" w:rsidRDefault="00881D28" w:rsidP="00E66803">
      <w:pPr>
        <w:widowControl/>
        <w:rPr>
          <w:bCs/>
        </w:rPr>
      </w:pPr>
    </w:p>
    <w:p w14:paraId="792AEF13" w14:textId="57ED3AF4" w:rsidR="00014FFE" w:rsidRDefault="00881D28" w:rsidP="00E66803">
      <w:pPr>
        <w:widowControl/>
      </w:pPr>
      <w:r>
        <w:rPr>
          <w:bCs/>
        </w:rPr>
        <w:t>Option</w:t>
      </w:r>
      <w:r w:rsidDel="0040676A">
        <w:rPr>
          <w:bCs/>
        </w:rPr>
        <w:t xml:space="preserve"> </w:t>
      </w:r>
      <w:r w:rsidR="0040676A">
        <w:rPr>
          <w:bCs/>
        </w:rPr>
        <w:t xml:space="preserve">3 </w:t>
      </w:r>
      <w:r>
        <w:rPr>
          <w:bCs/>
        </w:rPr>
        <w:t>is FSANZ’</w:t>
      </w:r>
      <w:r w:rsidR="0040676A">
        <w:rPr>
          <w:bCs/>
        </w:rPr>
        <w:t>s</w:t>
      </w:r>
      <w:r>
        <w:rPr>
          <w:bCs/>
        </w:rPr>
        <w:t xml:space="preserve"> preferred option at this stage; feedback</w:t>
      </w:r>
      <w:r>
        <w:t xml:space="preserve"> received through this process will inform FSANZ’</w:t>
      </w:r>
      <w:r w:rsidR="0011572A">
        <w:t>s</w:t>
      </w:r>
      <w:r>
        <w:t xml:space="preserve"> final recommendation.</w:t>
      </w:r>
    </w:p>
    <w:p w14:paraId="4DBC490D" w14:textId="1E7492A8" w:rsidR="00CE56F5" w:rsidRPr="004D60AC" w:rsidRDefault="00CE56F5" w:rsidP="00E66803">
      <w:pPr>
        <w:pStyle w:val="Heading3"/>
        <w:widowControl/>
      </w:pPr>
      <w:bookmarkStart w:id="115" w:name="_Toc67321519"/>
      <w:bookmarkStart w:id="116" w:name="_Toc69987927"/>
      <w:bookmarkStart w:id="117" w:name="_Toc70002649"/>
      <w:r>
        <w:t>5.1.2</w:t>
      </w:r>
      <w:r w:rsidRPr="004D60AC">
        <w:tab/>
        <w:t>Other measures</w:t>
      </w:r>
      <w:bookmarkEnd w:id="115"/>
      <w:bookmarkEnd w:id="116"/>
      <w:bookmarkEnd w:id="117"/>
    </w:p>
    <w:p w14:paraId="4B4B61F8" w14:textId="77777777" w:rsidR="00CE56F5" w:rsidRPr="004D60AC" w:rsidRDefault="00CE56F5" w:rsidP="00E66803">
      <w:pPr>
        <w:widowControl/>
        <w:rPr>
          <w:rFonts w:cs="Arial"/>
          <w:szCs w:val="22"/>
        </w:rPr>
      </w:pPr>
      <w:r w:rsidRPr="004D60AC">
        <w:rPr>
          <w:rFonts w:cs="Arial"/>
          <w:szCs w:val="22"/>
        </w:rPr>
        <w:t>There are no other measures (whether available to FSANZ or not) that would be more cost-effective than a food regulatory measure developed or varied as a result of the Application.</w:t>
      </w:r>
    </w:p>
    <w:p w14:paraId="25FA56AA" w14:textId="77777777" w:rsidR="00CE56F5" w:rsidRPr="004D60AC" w:rsidRDefault="00CE56F5" w:rsidP="00E66803">
      <w:pPr>
        <w:pStyle w:val="Heading3"/>
        <w:widowControl/>
      </w:pPr>
      <w:bookmarkStart w:id="118" w:name="_Toc67321520"/>
      <w:bookmarkStart w:id="119" w:name="_Toc69987928"/>
      <w:bookmarkStart w:id="120" w:name="_Toc70002650"/>
      <w:r>
        <w:t>5.1.3</w:t>
      </w:r>
      <w:r w:rsidRPr="004D60AC">
        <w:tab/>
        <w:t>Any relevant New Zealand standards</w:t>
      </w:r>
      <w:bookmarkEnd w:id="118"/>
      <w:bookmarkEnd w:id="119"/>
      <w:bookmarkEnd w:id="120"/>
    </w:p>
    <w:p w14:paraId="0FDB7CFF" w14:textId="562B64B1" w:rsidR="00CE56F5" w:rsidRPr="004D60AC" w:rsidRDefault="0011572A" w:rsidP="00E66803">
      <w:pPr>
        <w:widowControl/>
        <w:rPr>
          <w:rFonts w:cs="Arial"/>
          <w:szCs w:val="22"/>
          <w:lang w:bidi="ar-SA"/>
        </w:rPr>
      </w:pPr>
      <w:r>
        <w:rPr>
          <w:lang w:bidi="ar-SA"/>
        </w:rPr>
        <w:t xml:space="preserve">The relevant standards apply in both Australia and New Zealand. </w:t>
      </w:r>
      <w:r w:rsidR="00CE56F5" w:rsidRPr="004D60AC">
        <w:rPr>
          <w:rFonts w:cs="Arial"/>
          <w:szCs w:val="22"/>
          <w:lang w:bidi="ar-SA"/>
        </w:rPr>
        <w:t xml:space="preserve">There are no relevant New Zealand </w:t>
      </w:r>
      <w:r w:rsidR="001A3C83">
        <w:rPr>
          <w:rFonts w:cs="Arial"/>
          <w:szCs w:val="22"/>
          <w:lang w:bidi="ar-SA"/>
        </w:rPr>
        <w:t>only s</w:t>
      </w:r>
      <w:r w:rsidR="001A3C83" w:rsidRPr="004D60AC">
        <w:rPr>
          <w:rFonts w:cs="Arial"/>
          <w:szCs w:val="22"/>
          <w:lang w:bidi="ar-SA"/>
        </w:rPr>
        <w:t>tandards</w:t>
      </w:r>
      <w:r w:rsidR="00CE56F5" w:rsidRPr="004D60AC">
        <w:rPr>
          <w:rFonts w:cs="Arial"/>
          <w:szCs w:val="22"/>
          <w:lang w:bidi="ar-SA"/>
        </w:rPr>
        <w:t>.</w:t>
      </w:r>
    </w:p>
    <w:p w14:paraId="7256EFD1" w14:textId="77777777" w:rsidR="00CE56F5" w:rsidRPr="004D60AC" w:rsidRDefault="00CE56F5" w:rsidP="00E66803">
      <w:pPr>
        <w:pStyle w:val="Heading3"/>
        <w:widowControl/>
      </w:pPr>
      <w:bookmarkStart w:id="121" w:name="_Toc67321521"/>
      <w:bookmarkStart w:id="122" w:name="_Toc69987929"/>
      <w:bookmarkStart w:id="123" w:name="_Toc70002651"/>
      <w:r>
        <w:t>5.1.4</w:t>
      </w:r>
      <w:r>
        <w:tab/>
      </w:r>
      <w:r w:rsidRPr="004D60AC">
        <w:t>Any other relevant matters</w:t>
      </w:r>
      <w:bookmarkEnd w:id="121"/>
      <w:bookmarkEnd w:id="122"/>
      <w:bookmarkEnd w:id="123"/>
    </w:p>
    <w:p w14:paraId="0C3B1313" w14:textId="77777777" w:rsidR="00CE56F5" w:rsidRPr="004D60AC" w:rsidRDefault="00CE56F5" w:rsidP="00E66803">
      <w:pPr>
        <w:widowControl/>
        <w:rPr>
          <w:rFonts w:cs="Arial"/>
          <w:szCs w:val="22"/>
          <w:lang w:bidi="ar-SA"/>
        </w:rPr>
      </w:pPr>
      <w:r w:rsidRPr="004D60AC">
        <w:rPr>
          <w:rFonts w:cs="Arial"/>
          <w:szCs w:val="22"/>
        </w:rPr>
        <w:t>Other relevant matters are considered below</w:t>
      </w:r>
      <w:r w:rsidRPr="004D60AC">
        <w:rPr>
          <w:rFonts w:cs="Arial"/>
          <w:szCs w:val="22"/>
          <w:lang w:bidi="ar-SA"/>
        </w:rPr>
        <w:t>.</w:t>
      </w:r>
      <w:r w:rsidRPr="004D60AC">
        <w:rPr>
          <w:rFonts w:cs="Arial"/>
          <w:szCs w:val="22"/>
        </w:rPr>
        <w:t xml:space="preserve"> </w:t>
      </w:r>
    </w:p>
    <w:p w14:paraId="515773FA" w14:textId="77777777" w:rsidR="00CE56F5" w:rsidRPr="004D60AC" w:rsidRDefault="00CE56F5" w:rsidP="00E66803">
      <w:pPr>
        <w:pStyle w:val="Heading2"/>
        <w:widowControl/>
      </w:pPr>
      <w:bookmarkStart w:id="124" w:name="_Toc67321522"/>
      <w:bookmarkStart w:id="125" w:name="_Toc69987930"/>
      <w:bookmarkStart w:id="126" w:name="_Toc70002652"/>
      <w:bookmarkStart w:id="127" w:name="_Toc300761897"/>
      <w:bookmarkStart w:id="128" w:name="_Toc300933440"/>
      <w:r>
        <w:t>5.2</w:t>
      </w:r>
      <w:r w:rsidRPr="004D60AC">
        <w:tab/>
        <w:t>Subsection 18(1)</w:t>
      </w:r>
      <w:bookmarkEnd w:id="124"/>
      <w:bookmarkEnd w:id="125"/>
      <w:bookmarkEnd w:id="126"/>
      <w:r w:rsidRPr="004D60AC">
        <w:t xml:space="preserve"> </w:t>
      </w:r>
      <w:bookmarkEnd w:id="127"/>
      <w:bookmarkEnd w:id="128"/>
    </w:p>
    <w:p w14:paraId="230920E1" w14:textId="77777777" w:rsidR="00CE56F5" w:rsidRPr="004D60AC" w:rsidRDefault="00CE56F5" w:rsidP="00E66803">
      <w:pPr>
        <w:widowControl/>
        <w:rPr>
          <w:rFonts w:cs="Arial"/>
          <w:szCs w:val="22"/>
        </w:rPr>
      </w:pPr>
      <w:r w:rsidRPr="004D60AC">
        <w:rPr>
          <w:rFonts w:cs="Arial"/>
          <w:szCs w:val="22"/>
        </w:rPr>
        <w:t>FSANZ has also considered the three objectives in subsection 18(1) of the FSANZ Act during the assessment.</w:t>
      </w:r>
    </w:p>
    <w:p w14:paraId="303F1029" w14:textId="77777777" w:rsidR="00CE56F5" w:rsidRPr="004D60AC" w:rsidRDefault="00CE56F5" w:rsidP="00E66803">
      <w:pPr>
        <w:pStyle w:val="Heading3"/>
        <w:widowControl/>
      </w:pPr>
      <w:bookmarkStart w:id="129" w:name="_Toc297029117"/>
      <w:bookmarkStart w:id="130" w:name="_Toc300761898"/>
      <w:bookmarkStart w:id="131" w:name="_Toc300933441"/>
      <w:bookmarkStart w:id="132" w:name="_Toc67321523"/>
      <w:bookmarkStart w:id="133" w:name="_Toc69987931"/>
      <w:bookmarkStart w:id="134" w:name="_Toc70002653"/>
      <w:r>
        <w:lastRenderedPageBreak/>
        <w:t>5.2.1</w:t>
      </w:r>
      <w:r w:rsidRPr="004D60AC">
        <w:tab/>
        <w:t>Protection of public health and safety</w:t>
      </w:r>
      <w:bookmarkEnd w:id="129"/>
      <w:bookmarkEnd w:id="130"/>
      <w:bookmarkEnd w:id="131"/>
      <w:bookmarkEnd w:id="132"/>
      <w:bookmarkEnd w:id="133"/>
      <w:bookmarkEnd w:id="134"/>
    </w:p>
    <w:p w14:paraId="7E5BC61D" w14:textId="7BEA92C0" w:rsidR="00CE56F5" w:rsidRPr="00D01A05" w:rsidRDefault="00E45D10" w:rsidP="00E66803">
      <w:pPr>
        <w:widowControl/>
        <w:rPr>
          <w:rFonts w:cs="Arial"/>
          <w:szCs w:val="22"/>
        </w:rPr>
      </w:pPr>
      <w:r>
        <w:rPr>
          <w:rFonts w:cs="Arial"/>
          <w:szCs w:val="22"/>
        </w:rPr>
        <w:t xml:space="preserve">There </w:t>
      </w:r>
      <w:r w:rsidR="001E2434">
        <w:rPr>
          <w:rFonts w:cs="Arial"/>
          <w:szCs w:val="22"/>
        </w:rPr>
        <w:t>is</w:t>
      </w:r>
      <w:r>
        <w:rPr>
          <w:rFonts w:cs="Arial"/>
          <w:szCs w:val="22"/>
        </w:rPr>
        <w:t xml:space="preserve"> no risk to public health and safety as a result of the proposed permission for AOAC 2017.16 as</w:t>
      </w:r>
      <w:r w:rsidR="00C54636">
        <w:rPr>
          <w:rFonts w:cs="Arial"/>
          <w:szCs w:val="22"/>
        </w:rPr>
        <w:t xml:space="preserve"> a</w:t>
      </w:r>
      <w:r w:rsidR="005C53F7">
        <w:rPr>
          <w:rFonts w:cs="Arial"/>
          <w:szCs w:val="22"/>
        </w:rPr>
        <w:t>n</w:t>
      </w:r>
      <w:r w:rsidR="00C54636">
        <w:rPr>
          <w:rFonts w:cs="Arial"/>
          <w:szCs w:val="22"/>
        </w:rPr>
        <w:t xml:space="preserve"> </w:t>
      </w:r>
      <w:r w:rsidR="00B44107">
        <w:rPr>
          <w:rFonts w:cs="Arial"/>
          <w:szCs w:val="22"/>
        </w:rPr>
        <w:t xml:space="preserve">alternative method of analysis in the Code for </w:t>
      </w:r>
      <w:r w:rsidR="00131BC3">
        <w:rPr>
          <w:rFonts w:cs="Arial"/>
          <w:szCs w:val="22"/>
        </w:rPr>
        <w:t>total</w:t>
      </w:r>
      <w:r w:rsidR="003F7D15">
        <w:rPr>
          <w:rFonts w:cs="Arial"/>
          <w:szCs w:val="22"/>
        </w:rPr>
        <w:t xml:space="preserve"> </w:t>
      </w:r>
      <w:r w:rsidR="00B44107">
        <w:rPr>
          <w:rFonts w:cs="Arial"/>
          <w:szCs w:val="22"/>
        </w:rPr>
        <w:t>dietary fibre</w:t>
      </w:r>
      <w:r w:rsidR="00F05B26">
        <w:rPr>
          <w:rFonts w:cs="Arial"/>
          <w:szCs w:val="22"/>
        </w:rPr>
        <w:t>.</w:t>
      </w:r>
    </w:p>
    <w:p w14:paraId="21CC42D8" w14:textId="77777777" w:rsidR="00CE56F5" w:rsidRPr="004D60AC" w:rsidRDefault="00CE56F5" w:rsidP="00E66803">
      <w:pPr>
        <w:pStyle w:val="Heading3"/>
        <w:widowControl/>
      </w:pPr>
      <w:bookmarkStart w:id="135" w:name="_Toc300761899"/>
      <w:bookmarkStart w:id="136" w:name="_Toc300933442"/>
      <w:bookmarkStart w:id="137" w:name="_Toc67321524"/>
      <w:bookmarkStart w:id="138" w:name="_Toc69987932"/>
      <w:bookmarkStart w:id="139" w:name="_Toc70002654"/>
      <w:r>
        <w:t>5.2.</w:t>
      </w:r>
      <w:r w:rsidRPr="004D60AC">
        <w:t>2</w:t>
      </w:r>
      <w:r w:rsidRPr="004D60AC">
        <w:tab/>
        <w:t>The provision of adequate information relating to food to enable consumers to make informed choices</w:t>
      </w:r>
      <w:bookmarkEnd w:id="135"/>
      <w:bookmarkEnd w:id="136"/>
      <w:bookmarkEnd w:id="137"/>
      <w:bookmarkEnd w:id="138"/>
      <w:bookmarkEnd w:id="139"/>
    </w:p>
    <w:p w14:paraId="38DEB56F" w14:textId="77777777" w:rsidR="00967212" w:rsidRPr="00A0267B" w:rsidRDefault="00967212" w:rsidP="00967212">
      <w:pPr>
        <w:widowControl/>
        <w:rPr>
          <w:rFonts w:cs="Arial"/>
          <w:szCs w:val="22"/>
        </w:rPr>
      </w:pPr>
      <w:r>
        <w:rPr>
          <w:rFonts w:cs="Arial"/>
          <w:szCs w:val="22"/>
        </w:rPr>
        <w:t xml:space="preserve">The provision of adequate information is not affected by permitting AOAC 2017.16 as it does not affect when dietary fibre values appear on NIPs. There is not currently another method of analysis that can provide a more comprehensive value of total dietary fibre (specifically for foods containing more complex mixtures of both HMWDF and LMWDF components), so even though total dietary fibre values determined using AOAC 2017.16 presented on an NIP may differ compared to other methods of analysis it would not be so much </w:t>
      </w:r>
      <w:r>
        <w:t xml:space="preserve">as to prevent </w:t>
      </w:r>
      <w:r w:rsidRPr="004D60AC">
        <w:t xml:space="preserve">consumers </w:t>
      </w:r>
      <w:r>
        <w:t>from being able to</w:t>
      </w:r>
      <w:r w:rsidRPr="004D60AC">
        <w:t xml:space="preserve"> make </w:t>
      </w:r>
      <w:r>
        <w:t>an informed choice</w:t>
      </w:r>
      <w:r>
        <w:rPr>
          <w:rFonts w:cs="Arial"/>
          <w:szCs w:val="22"/>
        </w:rPr>
        <w:t>.</w:t>
      </w:r>
    </w:p>
    <w:p w14:paraId="4129FDD3" w14:textId="77777777" w:rsidR="00CE56F5" w:rsidRPr="004D60AC" w:rsidRDefault="00CE56F5" w:rsidP="00581106">
      <w:pPr>
        <w:pStyle w:val="Heading3"/>
        <w:widowControl/>
      </w:pPr>
      <w:bookmarkStart w:id="140" w:name="_Toc300761900"/>
      <w:bookmarkStart w:id="141" w:name="_Toc300933443"/>
      <w:bookmarkStart w:id="142" w:name="_Toc67321525"/>
      <w:bookmarkStart w:id="143" w:name="_Toc69987933"/>
      <w:bookmarkStart w:id="144" w:name="_Toc70002655"/>
      <w:r>
        <w:t>5.2.3</w:t>
      </w:r>
      <w:r w:rsidRPr="004D60AC">
        <w:tab/>
        <w:t>The prevention of misleading or deceptive conduct</w:t>
      </w:r>
      <w:bookmarkEnd w:id="140"/>
      <w:bookmarkEnd w:id="141"/>
      <w:bookmarkEnd w:id="142"/>
      <w:bookmarkEnd w:id="143"/>
      <w:bookmarkEnd w:id="144"/>
    </w:p>
    <w:p w14:paraId="1E5299D0" w14:textId="41DB4F1D" w:rsidR="003B4449" w:rsidRDefault="003B4449" w:rsidP="00AE2A64">
      <w:r>
        <w:t>C</w:t>
      </w:r>
      <w:r w:rsidRPr="00EC6889">
        <w:t xml:space="preserve">onsumers are unlikely to be </w:t>
      </w:r>
      <w:r>
        <w:t>adversely</w:t>
      </w:r>
      <w:r w:rsidRPr="00EC6889">
        <w:t xml:space="preserve"> affected </w:t>
      </w:r>
      <w:r w:rsidR="004739DC">
        <w:t xml:space="preserve">(misled) </w:t>
      </w:r>
      <w:r w:rsidRPr="00EC6889">
        <w:t xml:space="preserve">by </w:t>
      </w:r>
      <w:r w:rsidR="004739DC">
        <w:t>the inclusion of GOS</w:t>
      </w:r>
      <w:r w:rsidR="00282D0E">
        <w:t xml:space="preserve"> and IMO</w:t>
      </w:r>
      <w:r w:rsidR="004739DC">
        <w:t xml:space="preserve"> in total dietary fibre values from </w:t>
      </w:r>
      <w:r w:rsidRPr="009D7D74">
        <w:rPr>
          <w:rFonts w:cs="Arial"/>
        </w:rPr>
        <w:t xml:space="preserve">AOAC 2017.16 </w:t>
      </w:r>
      <w:r>
        <w:t>because:</w:t>
      </w:r>
    </w:p>
    <w:p w14:paraId="61E391DC" w14:textId="77777777" w:rsidR="003B4449" w:rsidRDefault="003B4449" w:rsidP="00AE2A64"/>
    <w:p w14:paraId="725F81D5" w14:textId="6C03EC43" w:rsidR="003B4449" w:rsidRDefault="003B4449" w:rsidP="00AE2A64">
      <w:pPr>
        <w:pStyle w:val="ListParagraph"/>
        <w:widowControl/>
        <w:numPr>
          <w:ilvl w:val="0"/>
          <w:numId w:val="90"/>
        </w:numPr>
      </w:pPr>
      <w:r>
        <w:t xml:space="preserve">Only foods containing GOS </w:t>
      </w:r>
      <w:r w:rsidR="00386FE2">
        <w:t xml:space="preserve">(and potentially IMO) </w:t>
      </w:r>
      <w:r>
        <w:t>are affected</w:t>
      </w:r>
      <w:r w:rsidR="004739DC">
        <w:t xml:space="preserve"> by </w:t>
      </w:r>
      <w:r w:rsidR="00386FE2">
        <w:t>any potential overestimation of total dietary fibre in relevant foods measured by AOAC 2017.16</w:t>
      </w:r>
      <w:r>
        <w:t>.</w:t>
      </w:r>
    </w:p>
    <w:p w14:paraId="67C2C7C1" w14:textId="72D7EDAE" w:rsidR="00282D0E" w:rsidRDefault="003B4449" w:rsidP="00282D0E">
      <w:pPr>
        <w:pStyle w:val="ListParagraph"/>
        <w:widowControl/>
        <w:numPr>
          <w:ilvl w:val="0"/>
          <w:numId w:val="90"/>
        </w:numPr>
      </w:pPr>
      <w:r>
        <w:t>Only a small proportion of foods contain naturally occurring GOS (up to 4g/100g in plant foods and 0.6g/100g in dairy foods) and GOS is not added to many foods in Australia and New Zealand (n=5).</w:t>
      </w:r>
      <w:r w:rsidR="00282D0E">
        <w:t xml:space="preserve"> IMO are even less prevalent in the food supply than GOS.</w:t>
      </w:r>
    </w:p>
    <w:p w14:paraId="2F290093" w14:textId="40FAB77F" w:rsidR="003B4449" w:rsidRDefault="003B4449" w:rsidP="00AE2A64">
      <w:pPr>
        <w:pStyle w:val="ListParagraph"/>
        <w:widowControl/>
        <w:numPr>
          <w:ilvl w:val="0"/>
          <w:numId w:val="90"/>
        </w:numPr>
      </w:pPr>
      <w:r>
        <w:t>All methods of analysis have a degree of inaccuracy when measuring dietary fibre.</w:t>
      </w:r>
    </w:p>
    <w:p w14:paraId="5307C598" w14:textId="41E9A27C" w:rsidR="003B4449" w:rsidRDefault="003B4449" w:rsidP="00AE2A64">
      <w:pPr>
        <w:pStyle w:val="ListParagraph"/>
        <w:widowControl/>
        <w:numPr>
          <w:ilvl w:val="0"/>
          <w:numId w:val="90"/>
        </w:numPr>
      </w:pPr>
      <w:r>
        <w:t>Methods of analysis permitted by the Code inaccurately measure total dietary fibre (overestimate or underestimate).</w:t>
      </w:r>
    </w:p>
    <w:p w14:paraId="34716FEB" w14:textId="1521BAC7" w:rsidR="004739DC" w:rsidRDefault="003B4449" w:rsidP="003B4449">
      <w:pPr>
        <w:pStyle w:val="ListParagraph"/>
        <w:widowControl/>
        <w:numPr>
          <w:ilvl w:val="0"/>
          <w:numId w:val="90"/>
        </w:numPr>
        <w:rPr>
          <w:rFonts w:cs="Arial"/>
        </w:rPr>
      </w:pPr>
      <w:r>
        <w:rPr>
          <w:rFonts w:cs="Arial"/>
        </w:rPr>
        <w:t>AOAC 2017.16, when used on GOS-containing foods, could result</w:t>
      </w:r>
      <w:r w:rsidRPr="009D7D74">
        <w:rPr>
          <w:rFonts w:cs="Arial"/>
        </w:rPr>
        <w:t xml:space="preserve"> in a </w:t>
      </w:r>
      <w:r>
        <w:rPr>
          <w:rFonts w:cs="Arial"/>
        </w:rPr>
        <w:t xml:space="preserve">small potential overestimation of total dietary fibre </w:t>
      </w:r>
      <w:r w:rsidRPr="003B4449">
        <w:rPr>
          <w:rFonts w:cs="Arial"/>
        </w:rPr>
        <w:t>(</w:t>
      </w:r>
      <w:r>
        <w:rPr>
          <w:rFonts w:cs="Arial"/>
        </w:rPr>
        <w:t>about 3-6% total dietary fibre measured which on average from foods analysed is 0.85 g/100g GOS</w:t>
      </w:r>
      <w:r w:rsidRPr="003B4449">
        <w:rPr>
          <w:rFonts w:cs="Arial"/>
        </w:rPr>
        <w:t xml:space="preserve">) </w:t>
      </w:r>
      <w:r w:rsidR="004739DC">
        <w:rPr>
          <w:rFonts w:cs="Arial"/>
        </w:rPr>
        <w:t>.</w:t>
      </w:r>
    </w:p>
    <w:p w14:paraId="28128AE7" w14:textId="4B5FACB6" w:rsidR="003B4449" w:rsidRPr="003B4449" w:rsidRDefault="004739DC" w:rsidP="003B4449">
      <w:pPr>
        <w:pStyle w:val="ListParagraph"/>
        <w:widowControl/>
        <w:numPr>
          <w:ilvl w:val="0"/>
          <w:numId w:val="90"/>
        </w:numPr>
        <w:rPr>
          <w:rFonts w:cs="Arial"/>
        </w:rPr>
      </w:pPr>
      <w:r>
        <w:rPr>
          <w:rFonts w:cs="Arial"/>
        </w:rPr>
        <w:t>This</w:t>
      </w:r>
      <w:r w:rsidR="003B4449">
        <w:rPr>
          <w:rFonts w:cs="Arial"/>
        </w:rPr>
        <w:t xml:space="preserve"> </w:t>
      </w:r>
      <w:r w:rsidR="003B4449" w:rsidRPr="003B4449">
        <w:rPr>
          <w:rFonts w:cs="Arial"/>
        </w:rPr>
        <w:t xml:space="preserve">would not alter </w:t>
      </w:r>
      <w:r>
        <w:rPr>
          <w:rFonts w:cs="Arial"/>
        </w:rPr>
        <w:t xml:space="preserve">food composition data, </w:t>
      </w:r>
      <w:r w:rsidR="003B4449" w:rsidRPr="003B4449">
        <w:rPr>
          <w:rFonts w:cs="Arial"/>
        </w:rPr>
        <w:t>NIP</w:t>
      </w:r>
      <w:r>
        <w:rPr>
          <w:rFonts w:cs="Arial"/>
        </w:rPr>
        <w:t xml:space="preserve"> values</w:t>
      </w:r>
      <w:r w:rsidR="003B4449" w:rsidRPr="003B4449">
        <w:rPr>
          <w:rFonts w:cs="Arial"/>
        </w:rPr>
        <w:t xml:space="preserve"> or </w:t>
      </w:r>
      <w:r>
        <w:rPr>
          <w:rFonts w:cs="Arial"/>
        </w:rPr>
        <w:t>F points for the</w:t>
      </w:r>
      <w:r w:rsidR="003B4449" w:rsidRPr="003B4449">
        <w:rPr>
          <w:rFonts w:cs="Arial"/>
        </w:rPr>
        <w:t xml:space="preserve"> NPSC calculations</w:t>
      </w:r>
      <w:r w:rsidR="003B4449">
        <w:rPr>
          <w:rFonts w:cs="Arial"/>
        </w:rPr>
        <w:t xml:space="preserve"> enough to stop consumers from making informed choices.</w:t>
      </w:r>
    </w:p>
    <w:p w14:paraId="6A6776FD" w14:textId="77777777" w:rsidR="003B4449" w:rsidRPr="009D7D74" w:rsidRDefault="003B4449" w:rsidP="00AE2A64">
      <w:pPr>
        <w:pStyle w:val="ListParagraph"/>
        <w:widowControl/>
        <w:numPr>
          <w:ilvl w:val="0"/>
          <w:numId w:val="90"/>
        </w:numPr>
        <w:rPr>
          <w:rFonts w:cs="Arial"/>
        </w:rPr>
      </w:pPr>
      <w:r w:rsidRPr="009D7D74">
        <w:rPr>
          <w:rFonts w:cs="Arial"/>
        </w:rPr>
        <w:t xml:space="preserve">AOAC 2017.16 </w:t>
      </w:r>
      <w:r>
        <w:rPr>
          <w:rFonts w:cs="Arial"/>
        </w:rPr>
        <w:t xml:space="preserve">overestimate of total DF is </w:t>
      </w:r>
      <w:r>
        <w:rPr>
          <w:lang w:eastAsia="en-AU"/>
        </w:rPr>
        <w:t xml:space="preserve">proportionate to the underestimate of </w:t>
      </w:r>
      <w:r>
        <w:rPr>
          <w:rFonts w:cs="Arial"/>
        </w:rPr>
        <w:t>total DF</w:t>
      </w:r>
      <w:r>
        <w:rPr>
          <w:lang w:eastAsia="en-AU"/>
        </w:rPr>
        <w:t xml:space="preserve"> produced by some other methods, and therefore may be cancelled out in some cases.</w:t>
      </w:r>
    </w:p>
    <w:p w14:paraId="1E4CB528" w14:textId="77777777" w:rsidR="003B4449" w:rsidRPr="00D277EE" w:rsidRDefault="003B4449" w:rsidP="00AE2A64">
      <w:pPr>
        <w:pStyle w:val="ListParagraph"/>
        <w:widowControl/>
        <w:numPr>
          <w:ilvl w:val="0"/>
          <w:numId w:val="90"/>
        </w:numPr>
      </w:pPr>
      <w:r w:rsidRPr="009D7D74">
        <w:rPr>
          <w:rFonts w:cs="Arial"/>
        </w:rPr>
        <w:t xml:space="preserve">Dietary fibre values must still be stated in NIPs regardless of AOAC 2017.16. </w:t>
      </w:r>
    </w:p>
    <w:p w14:paraId="13EC4063" w14:textId="5DC4055F" w:rsidR="00CE56F5" w:rsidRPr="004D60AC" w:rsidRDefault="00CE56F5" w:rsidP="003B4449">
      <w:pPr>
        <w:pStyle w:val="Heading2"/>
        <w:widowControl/>
      </w:pPr>
      <w:bookmarkStart w:id="145" w:name="_Toc300761901"/>
      <w:bookmarkStart w:id="146" w:name="_Toc300933444"/>
      <w:bookmarkStart w:id="147" w:name="_Toc67321526"/>
      <w:bookmarkStart w:id="148" w:name="_Toc69987934"/>
      <w:bookmarkStart w:id="149" w:name="_Toc70002656"/>
      <w:r>
        <w:t>5.3</w:t>
      </w:r>
      <w:r w:rsidRPr="004D60AC">
        <w:tab/>
        <w:t xml:space="preserve">Subsection 18(2) </w:t>
      </w:r>
      <w:bookmarkEnd w:id="145"/>
      <w:bookmarkEnd w:id="146"/>
      <w:r w:rsidRPr="004D60AC">
        <w:t>considerations</w:t>
      </w:r>
      <w:bookmarkEnd w:id="147"/>
      <w:bookmarkEnd w:id="148"/>
      <w:bookmarkEnd w:id="149"/>
    </w:p>
    <w:p w14:paraId="59A25438" w14:textId="50C1C7A1" w:rsidR="00CE56F5" w:rsidRPr="004D60AC" w:rsidRDefault="003F7D15" w:rsidP="003B4449">
      <w:pPr>
        <w:widowControl/>
        <w:spacing w:after="240"/>
        <w:rPr>
          <w:rFonts w:cs="Arial"/>
          <w:szCs w:val="22"/>
        </w:rPr>
      </w:pPr>
      <w:r>
        <w:rPr>
          <w:rFonts w:cs="Arial"/>
          <w:szCs w:val="22"/>
        </w:rPr>
        <w:t>FSANZ has also had regard to:</w:t>
      </w:r>
    </w:p>
    <w:p w14:paraId="7FE2C870" w14:textId="76172D4D" w:rsidR="003F7D15" w:rsidRPr="003F7D15" w:rsidRDefault="00CE56F5" w:rsidP="003B4449">
      <w:pPr>
        <w:pStyle w:val="FSBullet1"/>
        <w:spacing w:after="240"/>
        <w:rPr>
          <w:b/>
        </w:rPr>
      </w:pPr>
      <w:r w:rsidRPr="003F7D15">
        <w:rPr>
          <w:b/>
        </w:rPr>
        <w:t>the need for standards to be based on risk analysis using the best available scientific evidence</w:t>
      </w:r>
    </w:p>
    <w:p w14:paraId="1B69E0A0" w14:textId="0212A9EA" w:rsidR="00CE56F5" w:rsidRPr="004D60AC" w:rsidRDefault="00CE56F5" w:rsidP="003B4449">
      <w:pPr>
        <w:widowControl/>
        <w:spacing w:after="240"/>
        <w:rPr>
          <w:rFonts w:cs="Arial"/>
          <w:szCs w:val="22"/>
          <w:lang w:bidi="ar-SA"/>
        </w:rPr>
      </w:pPr>
      <w:r>
        <w:rPr>
          <w:rFonts w:cs="Arial"/>
          <w:szCs w:val="22"/>
          <w:lang w:bidi="ar-SA"/>
        </w:rPr>
        <w:t xml:space="preserve">FSANZ considers the best available scientific evidence was </w:t>
      </w:r>
      <w:r w:rsidR="00282D0E">
        <w:rPr>
          <w:rFonts w:cs="Arial"/>
          <w:szCs w:val="22"/>
          <w:lang w:bidi="ar-SA"/>
        </w:rPr>
        <w:t xml:space="preserve">reviewed </w:t>
      </w:r>
      <w:r w:rsidR="001E2434">
        <w:rPr>
          <w:rFonts w:cs="Arial"/>
          <w:szCs w:val="22"/>
          <w:lang w:bidi="ar-SA"/>
        </w:rPr>
        <w:t>in assessing AOAC 2017.16</w:t>
      </w:r>
      <w:r>
        <w:rPr>
          <w:rFonts w:cs="Arial"/>
          <w:szCs w:val="22"/>
          <w:lang w:bidi="ar-SA"/>
        </w:rPr>
        <w:t xml:space="preserve">. FSANZ reviewed data and information provided by the applicant, </w:t>
      </w:r>
      <w:r w:rsidR="00C0474B">
        <w:rPr>
          <w:rFonts w:cs="Arial"/>
          <w:szCs w:val="22"/>
          <w:lang w:bidi="ar-SA"/>
        </w:rPr>
        <w:t xml:space="preserve">relevant stakeholders </w:t>
      </w:r>
      <w:r>
        <w:rPr>
          <w:rFonts w:cs="Arial"/>
          <w:szCs w:val="22"/>
          <w:lang w:bidi="ar-SA"/>
        </w:rPr>
        <w:t>and identified other relevant scientific literature where appropriate.</w:t>
      </w:r>
      <w:r w:rsidR="004160EC">
        <w:rPr>
          <w:rFonts w:cs="Arial"/>
          <w:szCs w:val="22"/>
          <w:lang w:bidi="ar-SA"/>
        </w:rPr>
        <w:t xml:space="preserve"> A narrative review and </w:t>
      </w:r>
      <w:r>
        <w:rPr>
          <w:rFonts w:cs="Arial"/>
          <w:szCs w:val="22"/>
          <w:lang w:bidi="ar-SA"/>
        </w:rPr>
        <w:t>meta-analys</w:t>
      </w:r>
      <w:r w:rsidR="00CB78E4">
        <w:rPr>
          <w:rFonts w:cs="Arial"/>
          <w:szCs w:val="22"/>
          <w:lang w:bidi="ar-SA"/>
        </w:rPr>
        <w:t>e</w:t>
      </w:r>
      <w:r>
        <w:rPr>
          <w:rFonts w:cs="Arial"/>
          <w:szCs w:val="22"/>
          <w:lang w:bidi="ar-SA"/>
        </w:rPr>
        <w:t xml:space="preserve">s </w:t>
      </w:r>
      <w:r w:rsidR="00CB78E4">
        <w:rPr>
          <w:rFonts w:cs="Arial"/>
          <w:szCs w:val="22"/>
          <w:lang w:bidi="ar-SA"/>
        </w:rPr>
        <w:t>were</w:t>
      </w:r>
      <w:r>
        <w:rPr>
          <w:rFonts w:cs="Arial"/>
          <w:szCs w:val="22"/>
          <w:lang w:bidi="ar-SA"/>
        </w:rPr>
        <w:t xml:space="preserve"> undertaken </w:t>
      </w:r>
      <w:r w:rsidR="00CB78E4">
        <w:rPr>
          <w:rFonts w:cs="Arial"/>
          <w:szCs w:val="22"/>
          <w:lang w:bidi="ar-SA"/>
        </w:rPr>
        <w:t>to assess</w:t>
      </w:r>
      <w:r w:rsidR="00506FA2">
        <w:rPr>
          <w:rFonts w:cs="Arial"/>
          <w:szCs w:val="22"/>
          <w:lang w:bidi="ar-SA"/>
        </w:rPr>
        <w:t xml:space="preserve"> the </w:t>
      </w:r>
      <w:r w:rsidR="00CB78E4">
        <w:rPr>
          <w:rFonts w:cs="Arial"/>
          <w:szCs w:val="22"/>
          <w:lang w:bidi="ar-SA"/>
        </w:rPr>
        <w:t>relationship of</w:t>
      </w:r>
      <w:r>
        <w:rPr>
          <w:rFonts w:cs="Arial"/>
          <w:szCs w:val="22"/>
          <w:lang w:bidi="ar-SA"/>
        </w:rPr>
        <w:t xml:space="preserve"> </w:t>
      </w:r>
      <w:r>
        <w:rPr>
          <w:rFonts w:cs="Arial"/>
          <w:szCs w:val="22"/>
          <w:lang w:bidi="ar-SA"/>
        </w:rPr>
        <w:lastRenderedPageBreak/>
        <w:t xml:space="preserve">GOS </w:t>
      </w:r>
      <w:r w:rsidR="00CB78E4">
        <w:rPr>
          <w:rFonts w:cs="Arial"/>
          <w:szCs w:val="22"/>
          <w:lang w:bidi="ar-SA"/>
        </w:rPr>
        <w:t>with t</w:t>
      </w:r>
      <w:r w:rsidR="00506FA2">
        <w:rPr>
          <w:rFonts w:cs="Arial"/>
          <w:szCs w:val="22"/>
          <w:lang w:bidi="ar-SA"/>
        </w:rPr>
        <w:t xml:space="preserve">he </w:t>
      </w:r>
      <w:r w:rsidR="00CB78E4">
        <w:rPr>
          <w:rFonts w:cs="Arial"/>
          <w:szCs w:val="22"/>
          <w:lang w:bidi="ar-SA"/>
        </w:rPr>
        <w:t>each of</w:t>
      </w:r>
      <w:r w:rsidR="00506FA2">
        <w:rPr>
          <w:rFonts w:cs="Arial"/>
          <w:szCs w:val="22"/>
          <w:lang w:bidi="ar-SA"/>
        </w:rPr>
        <w:t xml:space="preserve"> the Code’s three accepted beneficial physiological effects for dietary fibre</w:t>
      </w:r>
      <w:r>
        <w:rPr>
          <w:rFonts w:cs="Arial"/>
          <w:szCs w:val="22"/>
          <w:lang w:bidi="ar-SA"/>
        </w:rPr>
        <w:t>.</w:t>
      </w:r>
    </w:p>
    <w:p w14:paraId="2BA0D732" w14:textId="0A31B8E0" w:rsidR="00012E79" w:rsidRPr="00C54636" w:rsidRDefault="00CE56F5" w:rsidP="003B4449">
      <w:pPr>
        <w:pStyle w:val="FSBullet1"/>
        <w:spacing w:after="240"/>
        <w:rPr>
          <w:b/>
        </w:rPr>
      </w:pPr>
      <w:r w:rsidRPr="00C54636">
        <w:rPr>
          <w:b/>
        </w:rPr>
        <w:t>the promotion of consistency between domestic and international food standards</w:t>
      </w:r>
    </w:p>
    <w:p w14:paraId="397C9966" w14:textId="7B5F700F" w:rsidR="00506FA2" w:rsidRDefault="00506FA2" w:rsidP="003B4449">
      <w:pPr>
        <w:pStyle w:val="FSBullet1"/>
        <w:numPr>
          <w:ilvl w:val="0"/>
          <w:numId w:val="0"/>
        </w:numPr>
        <w:spacing w:after="240"/>
      </w:pPr>
      <w:r>
        <w:t xml:space="preserve">As discussed </w:t>
      </w:r>
      <w:r w:rsidRPr="00FC0A84">
        <w:t>in Section 1.</w:t>
      </w:r>
      <w:r w:rsidR="00C54636">
        <w:t>4</w:t>
      </w:r>
      <w:r>
        <w:t xml:space="preserve">, AOAC 2017.16 is currently being considered by Codex as a replacement for its predecessor AOAC 2009.01. Many countries </w:t>
      </w:r>
      <w:r w:rsidR="00E1135A">
        <w:t xml:space="preserve">(other than Australia and New Zealand) </w:t>
      </w:r>
      <w:r>
        <w:t xml:space="preserve">accept AOAC 2009.01 as a suitable </w:t>
      </w:r>
      <w:r w:rsidR="00FC0A84">
        <w:t>method of analysis for</w:t>
      </w:r>
      <w:r>
        <w:t xml:space="preserve"> </w:t>
      </w:r>
      <w:r w:rsidR="00131BC3">
        <w:t>total</w:t>
      </w:r>
      <w:r>
        <w:t xml:space="preserve"> dietary fibre</w:t>
      </w:r>
      <w:r w:rsidR="00E1135A">
        <w:t>.</w:t>
      </w:r>
    </w:p>
    <w:p w14:paraId="5028738B" w14:textId="5F530905" w:rsidR="00C0474B" w:rsidRDefault="00012E79" w:rsidP="003B4449">
      <w:pPr>
        <w:pStyle w:val="FSBullet1"/>
        <w:numPr>
          <w:ilvl w:val="0"/>
          <w:numId w:val="0"/>
        </w:numPr>
        <w:spacing w:after="240"/>
        <w:rPr>
          <w:lang w:eastAsia="en-AU"/>
        </w:rPr>
      </w:pPr>
      <w:r>
        <w:rPr>
          <w:lang w:eastAsia="en-AU"/>
        </w:rPr>
        <w:t>FSANZ has considered how other countries</w:t>
      </w:r>
      <w:r w:rsidR="00C0474B">
        <w:rPr>
          <w:lang w:eastAsia="en-AU"/>
        </w:rPr>
        <w:t xml:space="preserve"> generally</w:t>
      </w:r>
      <w:r>
        <w:rPr>
          <w:lang w:eastAsia="en-AU"/>
        </w:rPr>
        <w:t xml:space="preserve"> regulate dietary fibre, with a particular interest in the beneficial physiological effects accepted</w:t>
      </w:r>
      <w:r w:rsidR="00506FA2">
        <w:rPr>
          <w:lang w:eastAsia="en-AU"/>
        </w:rPr>
        <w:t xml:space="preserve"> in Section 1.</w:t>
      </w:r>
      <w:r w:rsidR="00C54636">
        <w:rPr>
          <w:lang w:eastAsia="en-AU"/>
        </w:rPr>
        <w:t>4</w:t>
      </w:r>
      <w:r>
        <w:rPr>
          <w:lang w:eastAsia="en-AU"/>
        </w:rPr>
        <w:t xml:space="preserve">. In all </w:t>
      </w:r>
      <w:r w:rsidR="00CB78E4">
        <w:rPr>
          <w:lang w:eastAsia="en-AU"/>
        </w:rPr>
        <w:t xml:space="preserve">comparable </w:t>
      </w:r>
      <w:r>
        <w:rPr>
          <w:lang w:eastAsia="en-AU"/>
        </w:rPr>
        <w:t xml:space="preserve">countries reviewed, GOS is considered a dietary fibre </w:t>
      </w:r>
      <w:r w:rsidR="00CB78E4">
        <w:rPr>
          <w:lang w:eastAsia="en-AU"/>
        </w:rPr>
        <w:t xml:space="preserve">because it meets </w:t>
      </w:r>
      <w:r w:rsidR="00FC0A84">
        <w:rPr>
          <w:lang w:eastAsia="en-AU"/>
        </w:rPr>
        <w:t xml:space="preserve">one or more </w:t>
      </w:r>
      <w:r>
        <w:rPr>
          <w:lang w:eastAsia="en-AU"/>
        </w:rPr>
        <w:t>beneficial physiological effect</w:t>
      </w:r>
      <w:r w:rsidR="00FC0A84">
        <w:rPr>
          <w:lang w:eastAsia="en-AU"/>
        </w:rPr>
        <w:t>s</w:t>
      </w:r>
      <w:r>
        <w:rPr>
          <w:lang w:eastAsia="en-AU"/>
        </w:rPr>
        <w:t xml:space="preserve"> </w:t>
      </w:r>
      <w:r w:rsidR="00F86DA9">
        <w:rPr>
          <w:lang w:eastAsia="en-AU"/>
        </w:rPr>
        <w:t xml:space="preserve">recognised </w:t>
      </w:r>
      <w:r w:rsidR="00C0474B">
        <w:rPr>
          <w:lang w:eastAsia="en-AU"/>
        </w:rPr>
        <w:t>under that coun</w:t>
      </w:r>
      <w:r w:rsidR="00C54636">
        <w:rPr>
          <w:lang w:eastAsia="en-AU"/>
        </w:rPr>
        <w:t>try’s dietary fibre definition.</w:t>
      </w:r>
    </w:p>
    <w:p w14:paraId="22408108" w14:textId="1835D421" w:rsidR="00012E79" w:rsidRPr="00C0474B" w:rsidRDefault="00C0474B" w:rsidP="00C54636">
      <w:pPr>
        <w:pStyle w:val="FSBullet1"/>
        <w:numPr>
          <w:ilvl w:val="0"/>
          <w:numId w:val="0"/>
        </w:numPr>
        <w:spacing w:after="240"/>
        <w:rPr>
          <w:lang w:eastAsia="en-AU"/>
        </w:rPr>
      </w:pPr>
      <w:r>
        <w:t>A</w:t>
      </w:r>
      <w:r w:rsidR="00012E79" w:rsidRPr="00FC0A84">
        <w:t xml:space="preserve"> review of the Code’s definition of dietary fibre was beyond the scope of </w:t>
      </w:r>
      <w:r w:rsidR="00E273EE">
        <w:t xml:space="preserve">this application </w:t>
      </w:r>
      <w:r w:rsidR="00012E79" w:rsidRPr="00FC0A84">
        <w:t>A1178</w:t>
      </w:r>
      <w:r>
        <w:t xml:space="preserve"> however FSANZ’s proposed regulatory approach promotes a </w:t>
      </w:r>
      <w:r w:rsidR="003A25E8">
        <w:t xml:space="preserve">greater </w:t>
      </w:r>
      <w:r>
        <w:t>level of consistency between domestic and international standards</w:t>
      </w:r>
      <w:r w:rsidR="00012E79">
        <w:rPr>
          <w:lang w:eastAsia="en-AU"/>
        </w:rPr>
        <w:t xml:space="preserve">. </w:t>
      </w:r>
    </w:p>
    <w:p w14:paraId="73064D2A" w14:textId="1C045F7C" w:rsidR="00CE56F5" w:rsidRPr="00C54636" w:rsidRDefault="00CE56F5" w:rsidP="00C54636">
      <w:pPr>
        <w:pStyle w:val="FSBullet1"/>
        <w:spacing w:after="240"/>
        <w:rPr>
          <w:b/>
        </w:rPr>
      </w:pPr>
      <w:r w:rsidRPr="00C54636">
        <w:rPr>
          <w:b/>
        </w:rPr>
        <w:t>the desirability of an efficient and internationally competitive food industry</w:t>
      </w:r>
    </w:p>
    <w:p w14:paraId="339BE7D4" w14:textId="6FA8AE35" w:rsidR="00CE56F5" w:rsidRPr="004D60AC" w:rsidRDefault="00506FA2" w:rsidP="00F86DA9">
      <w:pPr>
        <w:widowControl/>
        <w:spacing w:after="240"/>
        <w:rPr>
          <w:rFonts w:cs="Arial"/>
          <w:szCs w:val="22"/>
          <w:lang w:bidi="ar-SA"/>
        </w:rPr>
      </w:pPr>
      <w:r>
        <w:t>P</w:t>
      </w:r>
      <w:r w:rsidR="00012E79">
        <w:t xml:space="preserve">ermitting </w:t>
      </w:r>
      <w:r w:rsidR="00CB78E4">
        <w:t>AOAC 2017.16</w:t>
      </w:r>
      <w:r w:rsidR="00012E79">
        <w:t xml:space="preserve"> will ensure that Australia and New Zealand </w:t>
      </w:r>
      <w:r w:rsidR="004C5BD1">
        <w:t xml:space="preserve">can </w:t>
      </w:r>
      <w:r w:rsidR="00012E79">
        <w:t>maintain an efficient and internationally competitive food industry for the analysis for dietary fibre.</w:t>
      </w:r>
    </w:p>
    <w:p w14:paraId="101E1B81" w14:textId="026BE786" w:rsidR="00CE56F5" w:rsidRPr="00C54636" w:rsidRDefault="00CE56F5" w:rsidP="00C54636">
      <w:pPr>
        <w:pStyle w:val="FSBullet1"/>
        <w:spacing w:after="240"/>
        <w:rPr>
          <w:b/>
        </w:rPr>
      </w:pPr>
      <w:r w:rsidRPr="00C54636">
        <w:rPr>
          <w:b/>
        </w:rPr>
        <w:t>the promotion of fair trading in food</w:t>
      </w:r>
    </w:p>
    <w:p w14:paraId="3D793689" w14:textId="42DC64A0" w:rsidR="00CE56F5" w:rsidRPr="00C54636" w:rsidRDefault="00CE56F5" w:rsidP="00C54636">
      <w:pPr>
        <w:widowControl/>
        <w:spacing w:after="240"/>
      </w:pPr>
      <w:r>
        <w:rPr>
          <w:lang w:bidi="ar-SA"/>
        </w:rPr>
        <w:t xml:space="preserve">Prescribing </w:t>
      </w:r>
      <w:r w:rsidRPr="00A15FA0">
        <w:t xml:space="preserve">AOAC </w:t>
      </w:r>
      <w:r>
        <w:t>2017.16 as a</w:t>
      </w:r>
      <w:r w:rsidR="003A25E8">
        <w:t>n</w:t>
      </w:r>
      <w:r>
        <w:t xml:space="preserve"> alternative </w:t>
      </w:r>
      <w:r w:rsidR="00A85E0B">
        <w:t>method of analysis for</w:t>
      </w:r>
      <w:r>
        <w:t xml:space="preserve"> </w:t>
      </w:r>
      <w:r w:rsidR="00131BC3">
        <w:t>total</w:t>
      </w:r>
      <w:r>
        <w:t xml:space="preserve"> dietary fibre </w:t>
      </w:r>
      <w:r w:rsidR="00A85E0B">
        <w:t>would promote fair trading</w:t>
      </w:r>
      <w:r w:rsidR="004566F1">
        <w:t xml:space="preserve"> in food by allowing releva</w:t>
      </w:r>
      <w:r w:rsidR="00506FA2">
        <w:t xml:space="preserve">nt foods </w:t>
      </w:r>
      <w:r w:rsidR="00CB78E4">
        <w:t xml:space="preserve">containing LMWDF </w:t>
      </w:r>
      <w:r w:rsidR="00506FA2">
        <w:t xml:space="preserve">to present a more comprehensive </w:t>
      </w:r>
      <w:r w:rsidR="00C54636">
        <w:t xml:space="preserve">and in some instances, precise </w:t>
      </w:r>
      <w:r w:rsidR="00506FA2">
        <w:t xml:space="preserve">value </w:t>
      </w:r>
      <w:r w:rsidR="00C0474B">
        <w:t>than currently permitted methods</w:t>
      </w:r>
      <w:r w:rsidR="00C0474B" w:rsidRPr="00C0474B">
        <w:t xml:space="preserve"> </w:t>
      </w:r>
      <w:r w:rsidR="00C0474B">
        <w:t xml:space="preserve">for </w:t>
      </w:r>
      <w:r w:rsidR="00131BC3">
        <w:t>total</w:t>
      </w:r>
      <w:r w:rsidR="00C0474B">
        <w:t xml:space="preserve"> dietary fibre</w:t>
      </w:r>
      <w:r w:rsidR="00A85E0B">
        <w:t>.</w:t>
      </w:r>
    </w:p>
    <w:p w14:paraId="6E2E0766" w14:textId="77777777" w:rsidR="00CE56F5" w:rsidRPr="00C54636" w:rsidRDefault="00CE56F5" w:rsidP="00C54636">
      <w:pPr>
        <w:pStyle w:val="FSBullet1"/>
        <w:rPr>
          <w:b/>
        </w:rPr>
      </w:pPr>
      <w:r w:rsidRPr="00C54636">
        <w:rPr>
          <w:b/>
        </w:rPr>
        <w:t>any written policy guidelines formulated by the Forum on Food Regulation</w:t>
      </w:r>
    </w:p>
    <w:p w14:paraId="76DEC7E4" w14:textId="77777777" w:rsidR="00CE56F5" w:rsidRPr="004D60AC" w:rsidRDefault="00CE56F5" w:rsidP="00EB2898">
      <w:pPr>
        <w:widowControl/>
        <w:rPr>
          <w:rFonts w:cs="Arial"/>
          <w:szCs w:val="22"/>
          <w:lang w:bidi="ar-SA"/>
        </w:rPr>
      </w:pPr>
    </w:p>
    <w:p w14:paraId="2DFA6D69" w14:textId="3CE20E39" w:rsidR="00A94B4E" w:rsidRDefault="00CE56F5" w:rsidP="00CE56F5">
      <w:pPr>
        <w:widowControl/>
      </w:pPr>
      <w:r w:rsidRPr="00806B72">
        <w:t xml:space="preserve">There are no specific </w:t>
      </w:r>
      <w:r>
        <w:t xml:space="preserve">policy </w:t>
      </w:r>
      <w:r w:rsidRPr="00806B72">
        <w:t xml:space="preserve">guidelines </w:t>
      </w:r>
      <w:r>
        <w:t>that apply to this Application.</w:t>
      </w:r>
      <w:r w:rsidRPr="00806B72">
        <w:t xml:space="preserve"> </w:t>
      </w:r>
    </w:p>
    <w:p w14:paraId="415F6E8D" w14:textId="77777777" w:rsidR="00CE56F5" w:rsidRPr="004D60AC" w:rsidRDefault="00CE56F5" w:rsidP="00EB2898">
      <w:pPr>
        <w:widowControl/>
        <w:rPr>
          <w:rFonts w:cs="Arial"/>
          <w:szCs w:val="22"/>
        </w:rPr>
      </w:pPr>
    </w:p>
    <w:p w14:paraId="0520F317" w14:textId="79DE90DD" w:rsidR="00CE56F5" w:rsidRPr="00A7430F" w:rsidRDefault="00CE56F5" w:rsidP="00EB2898">
      <w:pPr>
        <w:pStyle w:val="Heading1"/>
        <w:widowControl/>
      </w:pPr>
      <w:bookmarkStart w:id="150" w:name="_Toc286391014"/>
      <w:bookmarkStart w:id="151" w:name="_Toc175381455"/>
      <w:bookmarkStart w:id="152" w:name="_Toc300933445"/>
      <w:bookmarkStart w:id="153" w:name="_Toc67321527"/>
      <w:bookmarkStart w:id="154" w:name="_Toc69987935"/>
      <w:bookmarkStart w:id="155" w:name="_Toc70002657"/>
      <w:bookmarkEnd w:id="67"/>
      <w:bookmarkEnd w:id="68"/>
      <w:bookmarkEnd w:id="69"/>
      <w:bookmarkEnd w:id="70"/>
      <w:bookmarkEnd w:id="71"/>
      <w:bookmarkEnd w:id="72"/>
      <w:bookmarkEnd w:id="82"/>
      <w:r w:rsidRPr="00A7430F">
        <w:t>6</w:t>
      </w:r>
      <w:r w:rsidRPr="00A7430F">
        <w:tab/>
      </w:r>
      <w:bookmarkEnd w:id="150"/>
      <w:bookmarkEnd w:id="151"/>
      <w:bookmarkEnd w:id="152"/>
      <w:r w:rsidRPr="00A7430F">
        <w:t>Draft variation</w:t>
      </w:r>
      <w:bookmarkEnd w:id="153"/>
      <w:bookmarkEnd w:id="154"/>
      <w:bookmarkEnd w:id="155"/>
    </w:p>
    <w:p w14:paraId="5C1A60FE" w14:textId="782BF3B8" w:rsidR="00CE56F5" w:rsidRPr="004D60AC" w:rsidRDefault="00CE56F5" w:rsidP="00EB2898">
      <w:pPr>
        <w:widowControl/>
        <w:rPr>
          <w:rFonts w:cs="Arial"/>
          <w:szCs w:val="22"/>
        </w:rPr>
      </w:pPr>
      <w:r w:rsidRPr="004D60AC">
        <w:rPr>
          <w:rFonts w:cs="Arial"/>
          <w:color w:val="000000" w:themeColor="text1"/>
          <w:szCs w:val="22"/>
        </w:rPr>
        <w:t xml:space="preserve">The draft variation to the Code is at Attachment A and is intended to take </w:t>
      </w:r>
      <w:r w:rsidRPr="004D60AC">
        <w:rPr>
          <w:rFonts w:cs="Arial"/>
          <w:szCs w:val="22"/>
        </w:rPr>
        <w:t>effect on gazettal</w:t>
      </w:r>
      <w:r w:rsidR="003A25E8">
        <w:rPr>
          <w:rFonts w:cs="Arial"/>
          <w:szCs w:val="22"/>
        </w:rPr>
        <w:t>.</w:t>
      </w:r>
    </w:p>
    <w:p w14:paraId="7B07CD7B" w14:textId="77777777" w:rsidR="00CE56F5" w:rsidRPr="004D60AC" w:rsidRDefault="00CE56F5" w:rsidP="00EB2898">
      <w:pPr>
        <w:widowControl/>
        <w:rPr>
          <w:rFonts w:cs="Arial"/>
          <w:color w:val="000000" w:themeColor="text1"/>
          <w:szCs w:val="22"/>
        </w:rPr>
      </w:pPr>
    </w:p>
    <w:p w14:paraId="6E2D43CC" w14:textId="460C6EC8" w:rsidR="00CE56F5" w:rsidRDefault="00CE56F5" w:rsidP="00EB2898">
      <w:pPr>
        <w:widowControl/>
        <w:rPr>
          <w:rFonts w:cs="Arial"/>
          <w:szCs w:val="22"/>
        </w:rPr>
      </w:pPr>
      <w:r w:rsidRPr="004D60AC">
        <w:rPr>
          <w:rFonts w:cs="Arial"/>
          <w:szCs w:val="22"/>
        </w:rPr>
        <w:t xml:space="preserve">A draft explanatory statement is at Attachment B. An explanatory statement is required to accompany an instrument if it is lodged on the Federal Register of Legislation. </w:t>
      </w:r>
      <w:bookmarkStart w:id="156" w:name="_Toc11735643"/>
      <w:bookmarkStart w:id="157" w:name="_Toc29883130"/>
      <w:bookmarkStart w:id="158" w:name="_Toc41906817"/>
      <w:bookmarkStart w:id="159" w:name="_Toc41907564"/>
      <w:bookmarkStart w:id="160" w:name="_Toc43112360"/>
    </w:p>
    <w:p w14:paraId="6602D29C" w14:textId="77777777" w:rsidR="0011572A" w:rsidRPr="004D60AC" w:rsidRDefault="0011572A" w:rsidP="00EB2898">
      <w:pPr>
        <w:widowControl/>
        <w:rPr>
          <w:rFonts w:cs="Arial"/>
          <w:szCs w:val="22"/>
        </w:rPr>
      </w:pPr>
    </w:p>
    <w:p w14:paraId="598ECF3C" w14:textId="77777777" w:rsidR="00CE56F5" w:rsidRPr="00A7430F" w:rsidRDefault="00CE56F5" w:rsidP="00EB2898">
      <w:pPr>
        <w:pStyle w:val="Heading1"/>
        <w:widowControl/>
      </w:pPr>
      <w:bookmarkStart w:id="161" w:name="_Toc300933452"/>
      <w:bookmarkStart w:id="162" w:name="_Toc67321528"/>
      <w:bookmarkStart w:id="163" w:name="_Toc69987936"/>
      <w:bookmarkStart w:id="164" w:name="_Toc70002658"/>
      <w:r w:rsidRPr="00A7430F">
        <w:t>7</w:t>
      </w:r>
      <w:r w:rsidRPr="00A7430F">
        <w:tab/>
        <w:t>R</w:t>
      </w:r>
      <w:bookmarkEnd w:id="161"/>
      <w:r w:rsidRPr="00A7430F">
        <w:t>eferences</w:t>
      </w:r>
      <w:bookmarkEnd w:id="162"/>
      <w:bookmarkEnd w:id="163"/>
      <w:bookmarkEnd w:id="164"/>
    </w:p>
    <w:bookmarkEnd w:id="156"/>
    <w:bookmarkEnd w:id="157"/>
    <w:bookmarkEnd w:id="158"/>
    <w:bookmarkEnd w:id="159"/>
    <w:bookmarkEnd w:id="160"/>
    <w:p w14:paraId="01300C89" w14:textId="324923C8" w:rsidR="007F6BAE" w:rsidRDefault="00CA6CBA" w:rsidP="00EB2898">
      <w:pPr>
        <w:widowControl/>
        <w:spacing w:before="240"/>
      </w:pPr>
      <w:r w:rsidRPr="00EB2898">
        <w:t>CCNFSDU</w:t>
      </w:r>
      <w:r w:rsidR="000D6701" w:rsidRPr="00EB2898">
        <w:t xml:space="preserve"> (2019) </w:t>
      </w:r>
      <w:r w:rsidR="007F6BAE" w:rsidRPr="00EB2898">
        <w:t xml:space="preserve">Proposal for introduction of </w:t>
      </w:r>
      <w:r w:rsidR="00BD0462">
        <w:t>ICC</w:t>
      </w:r>
      <w:r w:rsidR="007F6BAE" w:rsidRPr="00EB2898">
        <w:t xml:space="preserve"> standard no. 185 (</w:t>
      </w:r>
      <w:r w:rsidR="000D6701" w:rsidRPr="00EB2898">
        <w:t>AOAC</w:t>
      </w:r>
      <w:r w:rsidR="007F6BAE" w:rsidRPr="00EB2898">
        <w:t xml:space="preserve"> method 2017.16) to replace </w:t>
      </w:r>
      <w:r w:rsidR="000D6701" w:rsidRPr="00EB2898">
        <w:t>AOAC</w:t>
      </w:r>
      <w:r w:rsidR="007F6BAE" w:rsidRPr="00EB2898">
        <w:t xml:space="preserve"> method 2009.01</w:t>
      </w:r>
      <w:r w:rsidR="000D6701" w:rsidRPr="00EB2898">
        <w:t xml:space="preserve">. Codex Alimentarius CODEX </w:t>
      </w:r>
      <w:r w:rsidR="000D6701">
        <w:t xml:space="preserve">NFSDU/41 CRD 6. Codex Alimentarius Commission, Rome. Available from: </w:t>
      </w:r>
      <w:hyperlink r:id="rId26" w:history="1">
        <w:r w:rsidR="000D6701" w:rsidRPr="00351274">
          <w:rPr>
            <w:rStyle w:val="Hyperlink"/>
          </w:rPr>
          <w:t>http://www.fao.org/fao-who-codexalimentarius/meetings/detail/en/?meeting=CCNFSDU&amp;session=41</w:t>
        </w:r>
      </w:hyperlink>
    </w:p>
    <w:p w14:paraId="4E3167F5" w14:textId="77777777" w:rsidR="00187B57" w:rsidRDefault="00CA6CBA" w:rsidP="00187B57">
      <w:pPr>
        <w:widowControl/>
        <w:spacing w:before="240"/>
        <w:rPr>
          <w:szCs w:val="22"/>
        </w:rPr>
      </w:pPr>
      <w:r w:rsidRPr="00CA6CBA">
        <w:rPr>
          <w:szCs w:val="22"/>
        </w:rPr>
        <w:t>CCNFSDU</w:t>
      </w:r>
      <w:r w:rsidR="009D756C" w:rsidRPr="00CA6CBA">
        <w:rPr>
          <w:szCs w:val="22"/>
        </w:rPr>
        <w:t xml:space="preserve"> (2020) </w:t>
      </w:r>
      <w:r w:rsidR="00000EC5" w:rsidRPr="00CA6CBA">
        <w:rPr>
          <w:szCs w:val="22"/>
        </w:rPr>
        <w:t>Report of the forty-first session of the Codex Committee on Nutrition and Foods for Special Dietary Uses</w:t>
      </w:r>
      <w:r w:rsidRPr="00CA6CBA">
        <w:rPr>
          <w:szCs w:val="22"/>
        </w:rPr>
        <w:t xml:space="preserve"> REP20/NFSDU. Codex </w:t>
      </w:r>
      <w:r w:rsidRPr="00CA6CBA">
        <w:rPr>
          <w:color w:val="000000"/>
          <w:szCs w:val="22"/>
          <w:lang w:eastAsia="en-GB"/>
        </w:rPr>
        <w:t>Alimentarius Commission</w:t>
      </w:r>
      <w:r w:rsidRPr="00CA6CBA">
        <w:rPr>
          <w:szCs w:val="22"/>
        </w:rPr>
        <w:t xml:space="preserve">, </w:t>
      </w:r>
      <w:r w:rsidRPr="00CA6CBA">
        <w:rPr>
          <w:szCs w:val="22"/>
        </w:rPr>
        <w:lastRenderedPageBreak/>
        <w:t xml:space="preserve">Rome. Available from </w:t>
      </w:r>
      <w:hyperlink r:id="rId27" w:history="1">
        <w:r w:rsidRPr="00CA6CBA">
          <w:rPr>
            <w:rStyle w:val="Hyperlink"/>
            <w:szCs w:val="22"/>
          </w:rPr>
          <w:t>http://www.fao.org/fao-who-codexalimentarius/sh-proxy/en/?lnk=1&amp;url=https%253A%252F%252Fworkspace.fao.org%252Fsites%252Fcodex%252FMeetings%252FCX-720-41%252FReport%252FAdoption%252FREP20_NFSDUe.pdf</w:t>
        </w:r>
      </w:hyperlink>
      <w:r w:rsidRPr="00CA6CBA">
        <w:rPr>
          <w:szCs w:val="22"/>
        </w:rPr>
        <w:t xml:space="preserve"> </w:t>
      </w:r>
    </w:p>
    <w:p w14:paraId="37F8FAC0" w14:textId="3C6110C6" w:rsidR="00187B57" w:rsidRPr="00187B57" w:rsidRDefault="004965C7" w:rsidP="00187B57">
      <w:pPr>
        <w:widowControl/>
        <w:spacing w:before="240"/>
        <w:rPr>
          <w:rStyle w:val="mixed-citation"/>
          <w:szCs w:val="22"/>
        </w:rPr>
      </w:pPr>
      <w:r>
        <w:t>Codex</w:t>
      </w:r>
      <w:r w:rsidR="00187B57">
        <w:t xml:space="preserve"> (2021) Information and comments submitted by AOAC and ICC supporting replacement of AOAC 2009.01/AACCI 32-45.01 with AOAC 2017.16/ ICC Standard 185 in CXS 234-1999 as a Type I method for the measurement of Total Dietary Fibre </w:t>
      </w:r>
      <w:r w:rsidR="00187B57" w:rsidRPr="003A649F">
        <w:t>MAS-CRD/03</w:t>
      </w:r>
      <w:r w:rsidR="00187B57">
        <w:t xml:space="preserve">. Codex Alimentarius Commission, Rome. Available from: </w:t>
      </w:r>
      <w:hyperlink r:id="rId28" w:history="1">
        <w:r w:rsidR="00452210" w:rsidRPr="00995261">
          <w:rPr>
            <w:rStyle w:val="Hyperlink"/>
          </w:rPr>
          <w:t>http://www.fao.org/fao-who-codexalimentarius/sh-proxy/en/?lnk=1&amp;url=https%253A%252F%252Fworkspace.fao.org%252Fsites%252Fcodex%252FMeetings%252FCX-715-41%252FCRD%252Fma_CRD03x.pdf</w:t>
        </w:r>
      </w:hyperlink>
      <w:r w:rsidR="00452210">
        <w:t xml:space="preserve"> </w:t>
      </w:r>
      <w:r w:rsidR="00187B57">
        <w:t xml:space="preserve"> </w:t>
      </w:r>
    </w:p>
    <w:p w14:paraId="69AE1FD2" w14:textId="6F39B786" w:rsidR="00B92CBE" w:rsidRPr="007F6BAE" w:rsidRDefault="007F6BAE" w:rsidP="00EB2898">
      <w:pPr>
        <w:widowControl/>
        <w:spacing w:before="240"/>
        <w:rPr>
          <w:rFonts w:cs="Arial"/>
          <w:szCs w:val="22"/>
        </w:rPr>
      </w:pPr>
      <w:r w:rsidRPr="00CA6CBA">
        <w:rPr>
          <w:rStyle w:val="mixed-citation"/>
          <w:szCs w:val="22"/>
          <w:lang w:val="en"/>
        </w:rPr>
        <w:t>Codex</w:t>
      </w:r>
      <w:r w:rsidR="000B7FD1" w:rsidRPr="00CA6CBA">
        <w:rPr>
          <w:rStyle w:val="mixed-citation"/>
          <w:szCs w:val="22"/>
          <w:lang w:val="en"/>
        </w:rPr>
        <w:t xml:space="preserve"> (</w:t>
      </w:r>
      <w:r w:rsidRPr="00CA6CBA">
        <w:rPr>
          <w:rStyle w:val="mixed-citation"/>
          <w:szCs w:val="22"/>
          <w:lang w:val="en"/>
        </w:rPr>
        <w:t>1985</w:t>
      </w:r>
      <w:r w:rsidR="000B7FD1" w:rsidRPr="00CA6CBA">
        <w:rPr>
          <w:rStyle w:val="mixed-citation"/>
          <w:szCs w:val="22"/>
          <w:lang w:val="en"/>
        </w:rPr>
        <w:t>)</w:t>
      </w:r>
      <w:r w:rsidR="00B92CBE" w:rsidRPr="00CA6CBA">
        <w:rPr>
          <w:rStyle w:val="mixed-citation"/>
          <w:szCs w:val="22"/>
          <w:lang w:val="en"/>
        </w:rPr>
        <w:t xml:space="preserve"> </w:t>
      </w:r>
      <w:r w:rsidR="00B92CBE" w:rsidRPr="00CA6CBA">
        <w:rPr>
          <w:rStyle w:val="ref-journal"/>
          <w:szCs w:val="22"/>
          <w:lang w:val="en"/>
        </w:rPr>
        <w:t>Guidelines on Nutrition Labeling</w:t>
      </w:r>
      <w:r w:rsidRPr="00CA6CBA">
        <w:rPr>
          <w:rStyle w:val="ref-journal"/>
          <w:szCs w:val="22"/>
          <w:lang w:val="en"/>
        </w:rPr>
        <w:t>, Codex Alimentarius CODEX</w:t>
      </w:r>
      <w:r w:rsidR="00B92CBE" w:rsidRPr="00CA6CBA">
        <w:rPr>
          <w:rStyle w:val="ref-journal"/>
          <w:szCs w:val="22"/>
          <w:lang w:val="en"/>
        </w:rPr>
        <w:t xml:space="preserve"> CAC</w:t>
      </w:r>
      <w:r w:rsidR="00B92CBE">
        <w:rPr>
          <w:rStyle w:val="ref-journal"/>
          <w:lang w:val="en"/>
        </w:rPr>
        <w:t>/GL 2–1985</w:t>
      </w:r>
      <w:r>
        <w:rPr>
          <w:rStyle w:val="ref-journal"/>
          <w:lang w:val="en"/>
        </w:rPr>
        <w:t>. Codex Alimentarius Commission, Rome,</w:t>
      </w:r>
      <w:r w:rsidR="00B92CBE">
        <w:rPr>
          <w:rStyle w:val="ref-journal"/>
          <w:lang w:val="en"/>
        </w:rPr>
        <w:t xml:space="preserve"> Last Amended </w:t>
      </w:r>
      <w:r w:rsidR="000B7FD1">
        <w:rPr>
          <w:rStyle w:val="ref-journal"/>
          <w:lang w:val="en"/>
        </w:rPr>
        <w:t>2017</w:t>
      </w:r>
      <w:r w:rsidR="00B92CBE" w:rsidRPr="007F6BAE">
        <w:rPr>
          <w:rStyle w:val="mixed-citation"/>
          <w:lang w:val="en"/>
        </w:rPr>
        <w:t>.</w:t>
      </w:r>
      <w:r w:rsidR="00B92CBE" w:rsidRPr="007F6BAE">
        <w:rPr>
          <w:rFonts w:cs="Arial"/>
          <w:szCs w:val="22"/>
        </w:rPr>
        <w:t xml:space="preserve"> </w:t>
      </w:r>
      <w:r w:rsidRPr="007F6BAE">
        <w:rPr>
          <w:rFonts w:cs="Arial"/>
          <w:szCs w:val="22"/>
        </w:rPr>
        <w:t>Available from:</w:t>
      </w:r>
      <w:r w:rsidR="000D6701">
        <w:rPr>
          <w:rFonts w:cs="Arial"/>
          <w:szCs w:val="22"/>
        </w:rPr>
        <w:t xml:space="preserve"> </w:t>
      </w:r>
      <w:hyperlink r:id="rId29" w:history="1">
        <w:r w:rsidR="000D6701" w:rsidRPr="00351274">
          <w:rPr>
            <w:rStyle w:val="Hyperlink"/>
            <w:rFonts w:cs="Arial"/>
            <w:szCs w:val="22"/>
          </w:rPr>
          <w:t>http://www.fao.org/fao-who-codexalimentarius/codex-texts/guidelines/en/</w:t>
        </w:r>
      </w:hyperlink>
      <w:r w:rsidR="000D6701">
        <w:rPr>
          <w:rFonts w:cs="Arial"/>
          <w:szCs w:val="22"/>
        </w:rPr>
        <w:t xml:space="preserve"> </w:t>
      </w:r>
    </w:p>
    <w:p w14:paraId="61B34AF3" w14:textId="2774F432" w:rsidR="000B7FD1" w:rsidRDefault="007F6BAE" w:rsidP="00EB2898">
      <w:pPr>
        <w:widowControl/>
        <w:spacing w:before="240"/>
        <w:rPr>
          <w:rFonts w:cs="Arial"/>
          <w:szCs w:val="22"/>
        </w:rPr>
      </w:pPr>
      <w:r>
        <w:rPr>
          <w:rFonts w:cs="Arial"/>
          <w:szCs w:val="22"/>
        </w:rPr>
        <w:t>Codex</w:t>
      </w:r>
      <w:r w:rsidR="000B7FD1" w:rsidRPr="000B7FD1">
        <w:rPr>
          <w:rFonts w:cs="Arial"/>
          <w:szCs w:val="22"/>
        </w:rPr>
        <w:t xml:space="preserve"> (1999) Recommended Methods of Analysis and Sampling</w:t>
      </w:r>
      <w:r>
        <w:rPr>
          <w:rFonts w:cs="Arial"/>
          <w:szCs w:val="22"/>
        </w:rPr>
        <w:t>. Codex Alimen</w:t>
      </w:r>
      <w:r w:rsidR="000D6701">
        <w:rPr>
          <w:rFonts w:cs="Arial"/>
          <w:szCs w:val="22"/>
        </w:rPr>
        <w:t>t</w:t>
      </w:r>
      <w:r>
        <w:rPr>
          <w:rFonts w:cs="Arial"/>
          <w:szCs w:val="22"/>
        </w:rPr>
        <w:t>arius CODEX</w:t>
      </w:r>
      <w:r w:rsidR="000B7FD1" w:rsidRPr="000B7FD1">
        <w:rPr>
          <w:rFonts w:cs="Arial"/>
          <w:szCs w:val="22"/>
        </w:rPr>
        <w:t xml:space="preserve"> CXS 234-1999. </w:t>
      </w:r>
      <w:r w:rsidR="000B7FD1">
        <w:rPr>
          <w:rFonts w:cs="Arial"/>
          <w:szCs w:val="22"/>
        </w:rPr>
        <w:t>Codex Alimentarius International</w:t>
      </w:r>
      <w:r>
        <w:rPr>
          <w:rFonts w:cs="Arial"/>
          <w:szCs w:val="22"/>
        </w:rPr>
        <w:t>, Rome</w:t>
      </w:r>
      <w:r w:rsidR="000B7FD1">
        <w:rPr>
          <w:rFonts w:cs="Arial"/>
          <w:szCs w:val="22"/>
        </w:rPr>
        <w:t xml:space="preserve">. </w:t>
      </w:r>
      <w:r w:rsidR="000B7FD1" w:rsidRPr="000B7FD1">
        <w:rPr>
          <w:rFonts w:cs="Arial"/>
          <w:szCs w:val="22"/>
        </w:rPr>
        <w:t>Last amended 2009</w:t>
      </w:r>
      <w:r w:rsidR="000B7FD1">
        <w:rPr>
          <w:rFonts w:cs="Arial"/>
          <w:szCs w:val="22"/>
        </w:rPr>
        <w:t xml:space="preserve">. Available </w:t>
      </w:r>
      <w:r>
        <w:rPr>
          <w:rFonts w:cs="Arial"/>
          <w:szCs w:val="22"/>
        </w:rPr>
        <w:t>from:</w:t>
      </w:r>
      <w:r w:rsidR="000D6701">
        <w:rPr>
          <w:rFonts w:cs="Arial"/>
          <w:szCs w:val="22"/>
        </w:rPr>
        <w:t xml:space="preserve"> </w:t>
      </w:r>
      <w:hyperlink r:id="rId30" w:history="1">
        <w:r w:rsidR="000D6701" w:rsidRPr="00351274">
          <w:rPr>
            <w:rStyle w:val="Hyperlink"/>
            <w:rFonts w:cs="Arial"/>
            <w:szCs w:val="22"/>
          </w:rPr>
          <w:t>http://www.fao.org/fao-who-codexalimentarius/codex-texts/list-standards/it/</w:t>
        </w:r>
      </w:hyperlink>
      <w:r w:rsidR="000D6701">
        <w:rPr>
          <w:rFonts w:cs="Arial"/>
          <w:szCs w:val="22"/>
        </w:rPr>
        <w:t xml:space="preserve"> </w:t>
      </w:r>
    </w:p>
    <w:p w14:paraId="438FC937" w14:textId="27C75EBC" w:rsidR="004965C7" w:rsidRPr="00CC7D68" w:rsidRDefault="00996F0B" w:rsidP="00EB2898">
      <w:pPr>
        <w:widowControl/>
        <w:spacing w:before="240"/>
        <w:rPr>
          <w:rFonts w:cs="Arial"/>
          <w:szCs w:val="22"/>
          <w:lang w:val="en"/>
        </w:rPr>
      </w:pPr>
      <w:r w:rsidRPr="00DA1707">
        <w:rPr>
          <w:rFonts w:cs="Arial"/>
          <w:szCs w:val="22"/>
          <w:lang w:val="en"/>
        </w:rPr>
        <w:t>EC (2008) Commission Directive 2008/100/</w:t>
      </w:r>
      <w:r w:rsidRPr="00996F0B">
        <w:rPr>
          <w:rFonts w:cs="Arial"/>
          <w:szCs w:val="22"/>
          <w:lang w:val="en"/>
        </w:rPr>
        <w:t>EC</w:t>
      </w:r>
      <w:r>
        <w:rPr>
          <w:rFonts w:cs="Arial"/>
          <w:szCs w:val="22"/>
          <w:lang w:val="en"/>
        </w:rPr>
        <w:t xml:space="preserve">: </w:t>
      </w:r>
      <w:r w:rsidRPr="00996F0B">
        <w:rPr>
          <w:rFonts w:cs="Arial"/>
          <w:szCs w:val="22"/>
          <w:lang w:val="en"/>
        </w:rPr>
        <w:t>amending Council Directive 90/496/EEC on nutrition labelling for foodstuffs as regards recommended daily allowances, energy conversion factors and definitions</w:t>
      </w:r>
      <w:r>
        <w:rPr>
          <w:rFonts w:cs="Arial"/>
          <w:szCs w:val="22"/>
          <w:lang w:val="en"/>
        </w:rPr>
        <w:t xml:space="preserve">. </w:t>
      </w:r>
      <w:r w:rsidRPr="00996F0B">
        <w:rPr>
          <w:rFonts w:cs="Arial"/>
          <w:szCs w:val="22"/>
          <w:lang w:val="en"/>
        </w:rPr>
        <w:t>29.10.2008</w:t>
      </w:r>
      <w:r>
        <w:rPr>
          <w:rFonts w:cs="Arial"/>
          <w:szCs w:val="22"/>
          <w:lang w:val="en"/>
        </w:rPr>
        <w:t xml:space="preserve"> </w:t>
      </w:r>
      <w:r w:rsidRPr="00452210">
        <w:rPr>
          <w:rFonts w:cs="Arial"/>
          <w:i/>
          <w:szCs w:val="22"/>
          <w:lang w:val="en"/>
        </w:rPr>
        <w:t>Official Journal of the European Union</w:t>
      </w:r>
      <w:r w:rsidR="00452210">
        <w:rPr>
          <w:rFonts w:cs="Arial"/>
          <w:szCs w:val="22"/>
          <w:lang w:val="en"/>
        </w:rPr>
        <w:t xml:space="preserve"> 285(</w:t>
      </w:r>
      <w:r w:rsidRPr="00996F0B">
        <w:rPr>
          <w:rFonts w:cs="Arial"/>
          <w:szCs w:val="22"/>
          <w:lang w:val="en"/>
        </w:rPr>
        <w:t>9</w:t>
      </w:r>
      <w:r w:rsidR="00452210">
        <w:rPr>
          <w:rFonts w:cs="Arial"/>
          <w:szCs w:val="22"/>
          <w:lang w:val="en"/>
        </w:rPr>
        <w:t>)</w:t>
      </w:r>
      <w:r>
        <w:rPr>
          <w:rFonts w:cs="Arial"/>
          <w:szCs w:val="22"/>
          <w:lang w:val="en"/>
        </w:rPr>
        <w:t xml:space="preserve">. Available from: </w:t>
      </w:r>
      <w:hyperlink r:id="rId31" w:history="1">
        <w:r w:rsidRPr="00CD20B6">
          <w:rPr>
            <w:rStyle w:val="Hyperlink"/>
            <w:rFonts w:cs="Arial"/>
            <w:szCs w:val="22"/>
            <w:lang w:val="en"/>
          </w:rPr>
          <w:t>https://eur-lex.europa.eu/legal-content/EN/ALL/?uri=CELEX:32008L0100</w:t>
        </w:r>
      </w:hyperlink>
      <w:r>
        <w:rPr>
          <w:rFonts w:cs="Arial"/>
          <w:szCs w:val="22"/>
          <w:lang w:val="en"/>
        </w:rPr>
        <w:t xml:space="preserve"> </w:t>
      </w:r>
    </w:p>
    <w:p w14:paraId="54C4E0CE" w14:textId="41A519D6" w:rsidR="007A11CA" w:rsidRDefault="007A11CA" w:rsidP="00EB2898">
      <w:pPr>
        <w:widowControl/>
        <w:spacing w:before="240"/>
        <w:rPr>
          <w:rFonts w:cs="Arial"/>
          <w:szCs w:val="22"/>
          <w:lang w:val="en"/>
        </w:rPr>
      </w:pPr>
      <w:r>
        <w:rPr>
          <w:rFonts w:cs="Arial"/>
          <w:szCs w:val="22"/>
          <w:lang w:val="en"/>
        </w:rPr>
        <w:t>EC (2012) G</w:t>
      </w:r>
      <w:r w:rsidRPr="007A11CA">
        <w:rPr>
          <w:rFonts w:cs="Arial"/>
          <w:szCs w:val="22"/>
          <w:lang w:val="en"/>
        </w:rPr>
        <w:t>uidance documen</w:t>
      </w:r>
      <w:r>
        <w:rPr>
          <w:rFonts w:cs="Arial"/>
          <w:szCs w:val="22"/>
          <w:lang w:val="en"/>
        </w:rPr>
        <w:t xml:space="preserve">t for competent authorities for </w:t>
      </w:r>
      <w:r w:rsidRPr="007A11CA">
        <w:rPr>
          <w:rFonts w:cs="Arial"/>
          <w:szCs w:val="22"/>
          <w:lang w:val="en"/>
        </w:rPr>
        <w:t>the control of com</w:t>
      </w:r>
      <w:r>
        <w:rPr>
          <w:rFonts w:cs="Arial"/>
          <w:szCs w:val="22"/>
          <w:lang w:val="en"/>
        </w:rPr>
        <w:t xml:space="preserve">pliance with EU legislation on: </w:t>
      </w:r>
      <w:r w:rsidRPr="007A11CA">
        <w:rPr>
          <w:rFonts w:cs="Arial"/>
          <w:szCs w:val="22"/>
          <w:lang w:val="en"/>
        </w:rPr>
        <w:t>Council Directive 90/496/EEC of</w:t>
      </w:r>
      <w:r>
        <w:rPr>
          <w:rFonts w:cs="Arial"/>
          <w:szCs w:val="22"/>
          <w:lang w:val="en"/>
        </w:rPr>
        <w:t xml:space="preserve"> 24 September 1990 on nutrition </w:t>
      </w:r>
      <w:r w:rsidRPr="007A11CA">
        <w:rPr>
          <w:rFonts w:cs="Arial"/>
          <w:szCs w:val="22"/>
          <w:lang w:val="en"/>
        </w:rPr>
        <w:t>labelling of foodstuffs</w:t>
      </w:r>
      <w:r>
        <w:rPr>
          <w:rFonts w:cs="Arial"/>
          <w:szCs w:val="22"/>
          <w:lang w:val="en"/>
        </w:rPr>
        <w:t xml:space="preserve"> (and others) </w:t>
      </w:r>
      <w:r w:rsidRPr="007A11CA">
        <w:rPr>
          <w:rFonts w:cs="Arial"/>
          <w:szCs w:val="22"/>
          <w:lang w:val="en"/>
        </w:rPr>
        <w:t>with re</w:t>
      </w:r>
      <w:r>
        <w:rPr>
          <w:rFonts w:cs="Arial"/>
          <w:szCs w:val="22"/>
          <w:lang w:val="en"/>
        </w:rPr>
        <w:t xml:space="preserve">gard to methods of analysis for </w:t>
      </w:r>
      <w:r w:rsidRPr="007A11CA">
        <w:rPr>
          <w:rFonts w:cs="Arial"/>
          <w:szCs w:val="22"/>
          <w:lang w:val="en"/>
        </w:rPr>
        <w:t>determination o</w:t>
      </w:r>
      <w:r>
        <w:rPr>
          <w:rFonts w:cs="Arial"/>
          <w:szCs w:val="22"/>
          <w:lang w:val="en"/>
        </w:rPr>
        <w:t xml:space="preserve">f the fibre content declared on </w:t>
      </w:r>
      <w:r w:rsidRPr="007A11CA">
        <w:rPr>
          <w:rFonts w:cs="Arial"/>
          <w:szCs w:val="22"/>
          <w:lang w:val="en"/>
        </w:rPr>
        <w:t>a label</w:t>
      </w:r>
      <w:r>
        <w:rPr>
          <w:rFonts w:cs="Arial"/>
          <w:szCs w:val="22"/>
          <w:lang w:val="en"/>
        </w:rPr>
        <w:t>. European Commis</w:t>
      </w:r>
      <w:r w:rsidR="00DA1707">
        <w:rPr>
          <w:rFonts w:cs="Arial"/>
          <w:szCs w:val="22"/>
          <w:lang w:val="en"/>
        </w:rPr>
        <w:t>sion, Brussels.</w:t>
      </w:r>
      <w:r w:rsidR="00452210">
        <w:rPr>
          <w:rFonts w:cs="Arial"/>
          <w:szCs w:val="22"/>
          <w:lang w:val="en"/>
        </w:rPr>
        <w:t xml:space="preserve"> Available from: </w:t>
      </w:r>
      <w:hyperlink r:id="rId32" w:history="1">
        <w:r w:rsidR="00452210" w:rsidRPr="00995261">
          <w:rPr>
            <w:rStyle w:val="Hyperlink"/>
            <w:rFonts w:cs="Arial"/>
            <w:szCs w:val="22"/>
            <w:lang w:val="en"/>
          </w:rPr>
          <w:t>https://ec.europa.eu/food/sites/food/files/safety/docs/labelling_legislation_guidance_methods_2012_en.pdf</w:t>
        </w:r>
      </w:hyperlink>
      <w:r w:rsidR="00452210">
        <w:rPr>
          <w:rFonts w:cs="Arial"/>
          <w:szCs w:val="22"/>
          <w:lang w:val="en"/>
        </w:rPr>
        <w:t xml:space="preserve"> </w:t>
      </w:r>
    </w:p>
    <w:p w14:paraId="61EC27F5" w14:textId="218A8952" w:rsidR="000230BF" w:rsidRPr="00000EC5" w:rsidRDefault="000230BF" w:rsidP="00EB2898">
      <w:pPr>
        <w:widowControl/>
        <w:spacing w:before="240"/>
        <w:rPr>
          <w:rFonts w:cs="Arial"/>
          <w:szCs w:val="22"/>
          <w:lang w:val="en"/>
        </w:rPr>
      </w:pPr>
      <w:r w:rsidRPr="00000EC5">
        <w:rPr>
          <w:rFonts w:cs="Arial"/>
          <w:szCs w:val="22"/>
          <w:lang w:val="en"/>
        </w:rPr>
        <w:t>EC (</w:t>
      </w:r>
      <w:r w:rsidR="00D437DF" w:rsidRPr="00000EC5">
        <w:rPr>
          <w:rFonts w:cs="Arial"/>
          <w:szCs w:val="22"/>
          <w:lang w:val="en"/>
        </w:rPr>
        <w:t xml:space="preserve">2020) </w:t>
      </w:r>
      <w:r w:rsidR="00000EC5" w:rsidRPr="00000EC5">
        <w:rPr>
          <w:rFonts w:cs="Arial"/>
          <w:szCs w:val="22"/>
          <w:lang w:val="en"/>
        </w:rPr>
        <w:t xml:space="preserve">Health promotion and disease prevention: Dietary Fibre. European Commission </w:t>
      </w:r>
      <w:r w:rsidR="00D437DF" w:rsidRPr="00000EC5">
        <w:rPr>
          <w:rFonts w:cs="Arial"/>
          <w:szCs w:val="22"/>
          <w:lang w:val="en"/>
        </w:rPr>
        <w:t>Health Promotion and Disease Prevention Knowledge Gateway</w:t>
      </w:r>
      <w:r w:rsidR="007A11CA">
        <w:rPr>
          <w:rFonts w:cs="Arial"/>
          <w:szCs w:val="22"/>
          <w:lang w:val="en"/>
        </w:rPr>
        <w:t>. European Commission, Brussels. A</w:t>
      </w:r>
      <w:r w:rsidR="00000EC5">
        <w:rPr>
          <w:rFonts w:cs="Arial"/>
          <w:szCs w:val="22"/>
          <w:lang w:val="en"/>
        </w:rPr>
        <w:t xml:space="preserve">vailable from: </w:t>
      </w:r>
      <w:hyperlink r:id="rId33" w:history="1">
        <w:r w:rsidR="00000EC5" w:rsidRPr="00351274">
          <w:rPr>
            <w:rStyle w:val="Hyperlink"/>
            <w:rFonts w:cs="Arial"/>
            <w:szCs w:val="22"/>
            <w:lang w:val="en"/>
          </w:rPr>
          <w:t>https://ec.europa.eu/jrc/en/health-knowledge-gateway/promotion-prevention/nutrition/fibre</w:t>
        </w:r>
      </w:hyperlink>
      <w:r w:rsidR="00000EC5">
        <w:rPr>
          <w:rFonts w:cs="Arial"/>
          <w:szCs w:val="22"/>
          <w:lang w:val="en"/>
        </w:rPr>
        <w:t xml:space="preserve"> </w:t>
      </w:r>
    </w:p>
    <w:p w14:paraId="0EA6D46C" w14:textId="794387E8" w:rsidR="00CA6CBA" w:rsidRDefault="00CA6CBA" w:rsidP="00EB2898">
      <w:pPr>
        <w:widowControl/>
        <w:spacing w:before="240"/>
        <w:rPr>
          <w:rFonts w:cs="Arial"/>
          <w:bCs/>
          <w:color w:val="1C1D1E"/>
          <w:kern w:val="36"/>
          <w:szCs w:val="22"/>
          <w:lang w:val="en"/>
        </w:rPr>
      </w:pPr>
      <w:r w:rsidRPr="00452210">
        <w:rPr>
          <w:rFonts w:cs="Arial"/>
          <w:color w:val="333333"/>
          <w:szCs w:val="22"/>
          <w:lang w:val="en"/>
        </w:rPr>
        <w:t xml:space="preserve">EFSA (2010) </w:t>
      </w:r>
      <w:r w:rsidRPr="00452210">
        <w:rPr>
          <w:rFonts w:cs="Arial"/>
          <w:bCs/>
          <w:color w:val="1C1D1E"/>
          <w:kern w:val="36"/>
          <w:szCs w:val="22"/>
          <w:lang w:val="en"/>
        </w:rPr>
        <w:t>Scientific Opinion on Dietary Reference Values for carbohydrates and dietary fibre</w:t>
      </w:r>
      <w:r w:rsidR="003D5E14" w:rsidRPr="00452210">
        <w:rPr>
          <w:rFonts w:cs="Arial"/>
          <w:bCs/>
          <w:color w:val="1C1D1E"/>
          <w:kern w:val="36"/>
          <w:szCs w:val="22"/>
          <w:lang w:val="en"/>
        </w:rPr>
        <w:t xml:space="preserve">. </w:t>
      </w:r>
      <w:r w:rsidR="00452210" w:rsidRPr="00452210">
        <w:rPr>
          <w:rStyle w:val="groupname"/>
          <w:color w:val="1C1D1E"/>
          <w:szCs w:val="22"/>
          <w:shd w:val="clear" w:color="auto" w:fill="FFFFFF"/>
        </w:rPr>
        <w:t>European Food Safety Authority</w:t>
      </w:r>
      <w:r w:rsidR="003D5E14" w:rsidRPr="00452210">
        <w:rPr>
          <w:rStyle w:val="groupname"/>
          <w:color w:val="1C1D1E"/>
          <w:szCs w:val="22"/>
          <w:shd w:val="clear" w:color="auto" w:fill="FFFFFF"/>
        </w:rPr>
        <w:t xml:space="preserve"> Panel on Dietetic Products, Nutrition, and Allergies (NDA). </w:t>
      </w:r>
      <w:r w:rsidR="003D5E14" w:rsidRPr="00452210">
        <w:rPr>
          <w:rFonts w:cs="Arial"/>
          <w:bCs/>
          <w:color w:val="1C1D1E"/>
          <w:kern w:val="36"/>
          <w:szCs w:val="22"/>
          <w:lang w:val="en"/>
        </w:rPr>
        <w:t>EFSA</w:t>
      </w:r>
      <w:r w:rsidRPr="00452210">
        <w:rPr>
          <w:rFonts w:cs="Arial"/>
          <w:bCs/>
          <w:color w:val="1C1D1E"/>
          <w:kern w:val="36"/>
          <w:szCs w:val="22"/>
          <w:lang w:val="en"/>
        </w:rPr>
        <w:t xml:space="preserve"> </w:t>
      </w:r>
      <w:r w:rsidR="00A62D03" w:rsidRPr="00452210">
        <w:rPr>
          <w:rFonts w:cs="Arial"/>
          <w:bCs/>
          <w:color w:val="1C1D1E"/>
          <w:kern w:val="36"/>
          <w:szCs w:val="22"/>
          <w:lang w:val="en"/>
        </w:rPr>
        <w:t xml:space="preserve">Journal, 8(3) 1462. Available from: </w:t>
      </w:r>
      <w:hyperlink r:id="rId34" w:history="1">
        <w:r w:rsidR="00A62D03" w:rsidRPr="00A62D03">
          <w:rPr>
            <w:rStyle w:val="Hyperlink"/>
            <w:rFonts w:cs="Arial"/>
            <w:bCs/>
            <w:kern w:val="36"/>
            <w:szCs w:val="22"/>
            <w:lang w:val="en"/>
          </w:rPr>
          <w:t>https://efsa.onlinelibrary.wiley.com/doi/abs/10.2903/j.efsa.2010.1462</w:t>
        </w:r>
      </w:hyperlink>
      <w:r w:rsidR="00A62D03" w:rsidRPr="00A62D03">
        <w:rPr>
          <w:rFonts w:cs="Arial"/>
          <w:bCs/>
          <w:color w:val="1C1D1E"/>
          <w:kern w:val="36"/>
          <w:szCs w:val="22"/>
          <w:lang w:val="en"/>
        </w:rPr>
        <w:t xml:space="preserve"> </w:t>
      </w:r>
    </w:p>
    <w:p w14:paraId="1BD87667" w14:textId="277C0CC7" w:rsidR="007F4383" w:rsidRPr="00506FA2" w:rsidRDefault="007F4383" w:rsidP="00EB2898">
      <w:pPr>
        <w:widowControl/>
        <w:spacing w:before="240"/>
        <w:rPr>
          <w:rFonts w:cs="Arial"/>
          <w:color w:val="333333"/>
          <w:sz w:val="20"/>
          <w:szCs w:val="20"/>
          <w:lang w:val="en"/>
        </w:rPr>
      </w:pPr>
      <w:r w:rsidRPr="00DA1707">
        <w:rPr>
          <w:rFonts w:cs="Arial"/>
          <w:szCs w:val="20"/>
          <w:lang w:val="en"/>
        </w:rPr>
        <w:t xml:space="preserve">EU (2011) Regulation (EU) No 1169/2011 of the European parliament and of the Council on the provision of food information to consumers. </w:t>
      </w:r>
      <w:r w:rsidRPr="00452210">
        <w:rPr>
          <w:rFonts w:cs="Arial"/>
          <w:i/>
          <w:szCs w:val="20"/>
          <w:lang w:val="en"/>
        </w:rPr>
        <w:t>Official Journal of the European</w:t>
      </w:r>
      <w:r w:rsidR="00452210">
        <w:rPr>
          <w:rFonts w:cs="Arial"/>
          <w:szCs w:val="20"/>
          <w:lang w:val="en"/>
        </w:rPr>
        <w:t xml:space="preserve"> Union (2011) (</w:t>
      </w:r>
      <w:r w:rsidRPr="00DA1707">
        <w:rPr>
          <w:rFonts w:cs="Arial"/>
          <w:szCs w:val="20"/>
          <w:lang w:val="en"/>
        </w:rPr>
        <w:t>3</w:t>
      </w:r>
      <w:r w:rsidR="00452210">
        <w:rPr>
          <w:rFonts w:cs="Arial"/>
          <w:szCs w:val="20"/>
          <w:lang w:val="en"/>
        </w:rPr>
        <w:t>04)</w:t>
      </w:r>
      <w:r w:rsidRPr="00DA1707">
        <w:rPr>
          <w:rFonts w:cs="Arial"/>
          <w:szCs w:val="20"/>
          <w:lang w:val="en"/>
        </w:rPr>
        <w:t>18–63</w:t>
      </w:r>
      <w:r w:rsidR="00DA1707" w:rsidRPr="00DA1707">
        <w:rPr>
          <w:rStyle w:val="Hyperlink"/>
          <w:rFonts w:cs="Arial"/>
          <w:color w:val="auto"/>
          <w:szCs w:val="20"/>
          <w:u w:val="none"/>
          <w:lang w:val="en"/>
        </w:rPr>
        <w:t>. Available from:</w:t>
      </w:r>
      <w:r w:rsidR="00DA1707" w:rsidRPr="00DA1707">
        <w:rPr>
          <w:rStyle w:val="Hyperlink"/>
          <w:rFonts w:cs="Arial"/>
          <w:color w:val="auto"/>
          <w:szCs w:val="20"/>
          <w:lang w:val="en"/>
        </w:rPr>
        <w:t xml:space="preserve"> </w:t>
      </w:r>
      <w:r w:rsidR="00DA1707" w:rsidRPr="00DA1707">
        <w:rPr>
          <w:rStyle w:val="Hyperlink"/>
          <w:rFonts w:cs="Arial"/>
          <w:szCs w:val="20"/>
          <w:lang w:val="en"/>
        </w:rPr>
        <w:t>https://eur-lex.europa.eu/legal-</w:t>
      </w:r>
      <w:r w:rsidR="00DA1707" w:rsidRPr="00DA1707">
        <w:rPr>
          <w:rStyle w:val="Hyperlink"/>
          <w:rFonts w:cs="Arial"/>
          <w:sz w:val="20"/>
          <w:szCs w:val="20"/>
          <w:lang w:val="en"/>
        </w:rPr>
        <w:t>content/EN/TXT/PDF/?uri=CELEX:32011R1169&amp;from=EN</w:t>
      </w:r>
    </w:p>
    <w:p w14:paraId="5F434C33" w14:textId="77777777" w:rsidR="00282D0E" w:rsidRDefault="00282D0E" w:rsidP="00EB2898">
      <w:pPr>
        <w:widowControl/>
        <w:spacing w:before="240"/>
        <w:rPr>
          <w:rStyle w:val="Hyperlink"/>
          <w:rFonts w:cs="Arial"/>
          <w:szCs w:val="22"/>
          <w:lang w:val="en"/>
        </w:rPr>
      </w:pPr>
      <w:r w:rsidRPr="00DA1707">
        <w:rPr>
          <w:rFonts w:cs="Arial"/>
          <w:szCs w:val="22"/>
          <w:lang w:val="en"/>
        </w:rPr>
        <w:t>FDA (2016) Food and Drug Administration, Revision of the Nutrition and Supplement Facts Label, US Federal Register (2016), Vol.81, No.103</w:t>
      </w:r>
      <w:r>
        <w:rPr>
          <w:rFonts w:cs="Arial"/>
          <w:szCs w:val="22"/>
          <w:lang w:val="en"/>
        </w:rPr>
        <w:t xml:space="preserve">. Available from: </w:t>
      </w:r>
      <w:hyperlink r:id="rId35" w:history="1">
        <w:r w:rsidRPr="00F9213C">
          <w:rPr>
            <w:rStyle w:val="Hyperlink"/>
            <w:rFonts w:cs="Arial"/>
            <w:szCs w:val="22"/>
            <w:lang w:val="en"/>
          </w:rPr>
          <w:t>https://www.regulations.gov/contentStreamer?documentId=FDA-2012-N-1210-0875&amp;contentType=pdf</w:t>
        </w:r>
      </w:hyperlink>
    </w:p>
    <w:p w14:paraId="375BAD27" w14:textId="23AA81D3" w:rsidR="00CC7D68" w:rsidRDefault="00CC7D68" w:rsidP="00EB2898">
      <w:pPr>
        <w:widowControl/>
        <w:spacing w:before="240"/>
        <w:rPr>
          <w:rFonts w:cs="Arial"/>
          <w:szCs w:val="22"/>
        </w:rPr>
      </w:pPr>
      <w:r w:rsidRPr="00CC7D68">
        <w:rPr>
          <w:rFonts w:cs="Arial"/>
          <w:szCs w:val="22"/>
        </w:rPr>
        <w:lastRenderedPageBreak/>
        <w:t>Hayakawa K, Ando K, Yoshia N, Yamamoto A, Matsunaga A, Nishi</w:t>
      </w:r>
      <w:r w:rsidR="000E1DF8">
        <w:rPr>
          <w:rFonts w:cs="Arial"/>
          <w:szCs w:val="22"/>
        </w:rPr>
        <w:t>mura M. Kitaoka M, and Matsui K</w:t>
      </w:r>
      <w:r w:rsidRPr="00CC7D68">
        <w:rPr>
          <w:rFonts w:cs="Arial"/>
          <w:szCs w:val="22"/>
        </w:rPr>
        <w:t xml:space="preserve"> (2000) Determination of saccharides in sake by high-performance liquid chromatography with polarized photometric detection. </w:t>
      </w:r>
      <w:r w:rsidRPr="00452210">
        <w:rPr>
          <w:rFonts w:cs="Arial"/>
          <w:i/>
          <w:szCs w:val="22"/>
        </w:rPr>
        <w:t>Biochemical Chromatography</w:t>
      </w:r>
      <w:r w:rsidRPr="00CC7D68">
        <w:rPr>
          <w:rFonts w:cs="Arial"/>
          <w:szCs w:val="22"/>
        </w:rPr>
        <w:t xml:space="preserve"> 14: 75.</w:t>
      </w:r>
    </w:p>
    <w:p w14:paraId="63A2C219" w14:textId="60E11E7E" w:rsidR="00431F01" w:rsidRDefault="007C6EE2" w:rsidP="00EB2898">
      <w:pPr>
        <w:widowControl/>
        <w:spacing w:before="240"/>
        <w:rPr>
          <w:rFonts w:cs="Arial"/>
          <w:szCs w:val="22"/>
        </w:rPr>
      </w:pPr>
      <w:r>
        <w:rPr>
          <w:rFonts w:cs="Arial"/>
          <w:szCs w:val="22"/>
        </w:rPr>
        <w:t>Jones</w:t>
      </w:r>
      <w:r w:rsidR="0062209C">
        <w:rPr>
          <w:rFonts w:cs="Arial"/>
          <w:szCs w:val="22"/>
        </w:rPr>
        <w:t xml:space="preserve"> JM (2013) </w:t>
      </w:r>
      <w:r w:rsidR="0062209C" w:rsidRPr="0062209C">
        <w:rPr>
          <w:rFonts w:cs="Arial"/>
          <w:szCs w:val="22"/>
        </w:rPr>
        <w:t>Dietary fiber future directions: integrating new definitions and findings to inform nutrit</w:t>
      </w:r>
      <w:r w:rsidR="0062209C">
        <w:rPr>
          <w:rFonts w:cs="Arial"/>
          <w:szCs w:val="22"/>
        </w:rPr>
        <w:t>ion research and communication. Advanced</w:t>
      </w:r>
      <w:r w:rsidR="0062209C" w:rsidRPr="0062209C">
        <w:rPr>
          <w:rFonts w:cs="Arial"/>
          <w:szCs w:val="22"/>
        </w:rPr>
        <w:t xml:space="preserve"> Nutr</w:t>
      </w:r>
      <w:r w:rsidR="0062209C">
        <w:rPr>
          <w:rFonts w:cs="Arial"/>
          <w:szCs w:val="22"/>
        </w:rPr>
        <w:t xml:space="preserve">ition </w:t>
      </w:r>
      <w:r w:rsidR="0062209C" w:rsidRPr="0062209C">
        <w:rPr>
          <w:rFonts w:cs="Arial"/>
          <w:szCs w:val="22"/>
        </w:rPr>
        <w:t>4</w:t>
      </w:r>
      <w:r w:rsidR="0062209C">
        <w:rPr>
          <w:rFonts w:cs="Arial"/>
          <w:szCs w:val="22"/>
        </w:rPr>
        <w:t>(1):</w:t>
      </w:r>
      <w:r w:rsidR="0062209C" w:rsidRPr="0062209C">
        <w:rPr>
          <w:rFonts w:cs="Arial"/>
          <w:szCs w:val="22"/>
        </w:rPr>
        <w:t>8–15</w:t>
      </w:r>
      <w:r w:rsidR="0062209C">
        <w:rPr>
          <w:rFonts w:cs="Arial"/>
          <w:szCs w:val="22"/>
        </w:rPr>
        <w:t xml:space="preserve">. Available from: </w:t>
      </w:r>
      <w:hyperlink r:id="rId36" w:history="1">
        <w:r w:rsidR="0062209C" w:rsidRPr="00CD20B6">
          <w:rPr>
            <w:rStyle w:val="Hyperlink"/>
            <w:rFonts w:cs="Arial"/>
            <w:szCs w:val="22"/>
          </w:rPr>
          <w:t>https://pubmed.ncbi.nlm.nih.gov/23319118/</w:t>
        </w:r>
      </w:hyperlink>
    </w:p>
    <w:p w14:paraId="24FB54FC" w14:textId="1B795320" w:rsidR="00431F01" w:rsidRDefault="00431F01" w:rsidP="00EB2898">
      <w:pPr>
        <w:widowControl/>
        <w:spacing w:before="240"/>
        <w:rPr>
          <w:rFonts w:cs="Arial"/>
          <w:szCs w:val="22"/>
        </w:rPr>
      </w:pPr>
      <w:r>
        <w:rPr>
          <w:rFonts w:cs="Arial"/>
          <w:szCs w:val="22"/>
        </w:rPr>
        <w:t>Jones JM (2014)</w:t>
      </w:r>
      <w:r w:rsidRPr="00431F01">
        <w:rPr>
          <w:rFonts w:cs="Arial"/>
          <w:szCs w:val="22"/>
        </w:rPr>
        <w:t xml:space="preserve"> CODEX-aligned dietary fiber definitions help to bri</w:t>
      </w:r>
      <w:r>
        <w:rPr>
          <w:rFonts w:cs="Arial"/>
          <w:szCs w:val="22"/>
        </w:rPr>
        <w:t xml:space="preserve">dge the ‘fiber gap’. </w:t>
      </w:r>
      <w:r w:rsidRPr="00452210">
        <w:rPr>
          <w:rFonts w:cs="Arial"/>
          <w:i/>
          <w:szCs w:val="22"/>
        </w:rPr>
        <w:t>Nutrition Journal</w:t>
      </w:r>
      <w:r>
        <w:rPr>
          <w:rFonts w:cs="Arial"/>
          <w:szCs w:val="22"/>
        </w:rPr>
        <w:t xml:space="preserve"> 13(</w:t>
      </w:r>
      <w:r w:rsidRPr="00431F01">
        <w:rPr>
          <w:rFonts w:cs="Arial"/>
          <w:szCs w:val="22"/>
        </w:rPr>
        <w:t>34</w:t>
      </w:r>
      <w:r>
        <w:rPr>
          <w:rFonts w:cs="Arial"/>
          <w:szCs w:val="22"/>
        </w:rPr>
        <w:t>)</w:t>
      </w:r>
      <w:r w:rsidRPr="00431F01">
        <w:rPr>
          <w:rFonts w:cs="Arial"/>
          <w:szCs w:val="22"/>
        </w:rPr>
        <w:t>.</w:t>
      </w:r>
      <w:r>
        <w:rPr>
          <w:rFonts w:cs="Arial"/>
          <w:szCs w:val="22"/>
        </w:rPr>
        <w:t xml:space="preserve"> Available from:</w:t>
      </w:r>
      <w:r w:rsidRPr="00431F01">
        <w:rPr>
          <w:rFonts w:cs="Arial"/>
          <w:szCs w:val="22"/>
        </w:rPr>
        <w:t xml:space="preserve"> </w:t>
      </w:r>
      <w:hyperlink r:id="rId37" w:history="1">
        <w:r w:rsidRPr="00CD20B6">
          <w:rPr>
            <w:rStyle w:val="Hyperlink"/>
            <w:rFonts w:cs="Arial"/>
            <w:szCs w:val="22"/>
          </w:rPr>
          <w:t>https://doi.org/10.1186/1475-2891-13-34</w:t>
        </w:r>
      </w:hyperlink>
    </w:p>
    <w:p w14:paraId="17ADA880" w14:textId="09688B34" w:rsidR="007C6EE2" w:rsidRDefault="007C6EE2" w:rsidP="00EB2898">
      <w:pPr>
        <w:widowControl/>
        <w:spacing w:before="240"/>
        <w:rPr>
          <w:noProof/>
          <w:szCs w:val="22"/>
        </w:rPr>
      </w:pPr>
      <w:r w:rsidRPr="00506FA2">
        <w:rPr>
          <w:noProof/>
          <w:szCs w:val="22"/>
        </w:rPr>
        <w:t xml:space="preserve">McCleary BV, DeVries JW, Rader JI, Cohen G, Prosky L, Mugford DC, Champ M, and Okuma K (2012) Determination of insoluble, soluble, and total dietary fiber (CODEX definition) by enzymatic-gravimetric method and liquid chromatography: collaborative study. </w:t>
      </w:r>
      <w:r w:rsidRPr="00506FA2">
        <w:rPr>
          <w:i/>
          <w:noProof/>
          <w:szCs w:val="22"/>
        </w:rPr>
        <w:t>J.AOAC Int.,</w:t>
      </w:r>
      <w:r w:rsidRPr="00506FA2">
        <w:rPr>
          <w:noProof/>
          <w:szCs w:val="22"/>
        </w:rPr>
        <w:t xml:space="preserve"> 95(3): 824-44</w:t>
      </w:r>
    </w:p>
    <w:p w14:paraId="255735B2" w14:textId="4415C5CF" w:rsidR="00187B57" w:rsidRPr="00506FA2" w:rsidRDefault="00187B57" w:rsidP="004739DC">
      <w:pPr>
        <w:widowControl/>
        <w:spacing w:before="240" w:after="120"/>
        <w:ind w:left="1"/>
        <w:rPr>
          <w:rFonts w:cs="Arial"/>
          <w:szCs w:val="22"/>
        </w:rPr>
      </w:pPr>
      <w:r w:rsidRPr="007063B9">
        <w:rPr>
          <w:rFonts w:cs="Arial"/>
          <w:szCs w:val="22"/>
        </w:rPr>
        <w:t>McCleary BV, Cox J (2017) Evolution of a Definition for Dietary Fiber and Methodology to Service this Definition. Luminacoids Research 21(2) 9-20</w:t>
      </w:r>
      <w:r>
        <w:rPr>
          <w:rFonts w:cs="Arial"/>
          <w:szCs w:val="22"/>
        </w:rPr>
        <w:t>.</w:t>
      </w:r>
    </w:p>
    <w:p w14:paraId="31F05A8A" w14:textId="0516AE10" w:rsidR="0062209C" w:rsidRPr="0062209C" w:rsidRDefault="0062209C" w:rsidP="00EB2898">
      <w:pPr>
        <w:widowControl/>
        <w:spacing w:before="240"/>
        <w:rPr>
          <w:rFonts w:cs="Arial"/>
          <w:szCs w:val="22"/>
        </w:rPr>
      </w:pPr>
      <w:r w:rsidRPr="00506FA2">
        <w:rPr>
          <w:noProof/>
          <w:szCs w:val="22"/>
        </w:rPr>
        <w:t xml:space="preserve">Phillips, GO (2013) Dietary fibre: A chemical category or a health ingredient? </w:t>
      </w:r>
      <w:r w:rsidRPr="00506FA2">
        <w:rPr>
          <w:i/>
          <w:noProof/>
          <w:szCs w:val="22"/>
        </w:rPr>
        <w:t xml:space="preserve">Bioactive Carbohydrates and Dietary Fibre </w:t>
      </w:r>
      <w:r w:rsidRPr="00506FA2">
        <w:rPr>
          <w:noProof/>
          <w:szCs w:val="22"/>
        </w:rPr>
        <w:t>1(1): 3-9</w:t>
      </w:r>
      <w:r w:rsidR="00506FA2">
        <w:rPr>
          <w:noProof/>
          <w:szCs w:val="22"/>
        </w:rPr>
        <w:t>.</w:t>
      </w:r>
    </w:p>
    <w:p w14:paraId="6444BA9B" w14:textId="6705EEFC" w:rsidR="00CE56F5" w:rsidRPr="004D60AC" w:rsidRDefault="00CE56F5" w:rsidP="00EB2898">
      <w:pPr>
        <w:widowControl/>
        <w:spacing w:before="240"/>
        <w:rPr>
          <w:rFonts w:cs="Arial"/>
          <w:b/>
          <w:szCs w:val="22"/>
        </w:rPr>
      </w:pPr>
      <w:r w:rsidRPr="004D60AC">
        <w:rPr>
          <w:rFonts w:cs="Arial"/>
          <w:b/>
          <w:szCs w:val="22"/>
        </w:rPr>
        <w:t>Attachments</w:t>
      </w:r>
    </w:p>
    <w:p w14:paraId="3BB7AD7E" w14:textId="77777777" w:rsidR="00CE56F5" w:rsidRPr="004D60AC" w:rsidRDefault="00CE56F5" w:rsidP="00EB2898">
      <w:pPr>
        <w:widowControl/>
        <w:rPr>
          <w:rFonts w:cs="Arial"/>
          <w:szCs w:val="22"/>
        </w:rPr>
      </w:pPr>
    </w:p>
    <w:p w14:paraId="108784CE" w14:textId="77777777" w:rsidR="00CE56F5" w:rsidRPr="004D60AC" w:rsidRDefault="00CE56F5" w:rsidP="00EB2898">
      <w:pPr>
        <w:widowControl/>
        <w:ind w:left="567" w:hanging="567"/>
        <w:rPr>
          <w:rFonts w:cs="Arial"/>
          <w:szCs w:val="22"/>
        </w:rPr>
      </w:pPr>
      <w:r w:rsidRPr="004D60AC">
        <w:rPr>
          <w:rFonts w:cs="Arial"/>
          <w:szCs w:val="22"/>
        </w:rPr>
        <w:t>A.</w:t>
      </w:r>
      <w:r w:rsidRPr="004D60AC">
        <w:rPr>
          <w:rFonts w:cs="Arial"/>
          <w:szCs w:val="22"/>
        </w:rPr>
        <w:tab/>
        <w:t xml:space="preserve">Draft variation to the </w:t>
      </w:r>
      <w:r w:rsidRPr="005925B4">
        <w:t>Australia New Zealand Food Standards Code</w:t>
      </w:r>
      <w:r w:rsidRPr="004D60AC">
        <w:rPr>
          <w:rFonts w:cs="Arial"/>
          <w:szCs w:val="22"/>
        </w:rPr>
        <w:t xml:space="preserve"> </w:t>
      </w:r>
    </w:p>
    <w:p w14:paraId="7719DE36" w14:textId="2E30C707" w:rsidR="00CE56F5" w:rsidRPr="004D60AC" w:rsidRDefault="00CE56F5" w:rsidP="006E72FA">
      <w:pPr>
        <w:widowControl/>
        <w:ind w:left="567" w:hanging="567"/>
        <w:rPr>
          <w:rFonts w:cs="Arial"/>
          <w:szCs w:val="22"/>
        </w:rPr>
      </w:pPr>
      <w:r w:rsidRPr="004D60AC">
        <w:rPr>
          <w:rFonts w:cs="Arial"/>
          <w:szCs w:val="22"/>
        </w:rPr>
        <w:t>B.</w:t>
      </w:r>
      <w:r w:rsidRPr="004D60AC">
        <w:rPr>
          <w:rFonts w:cs="Arial"/>
          <w:szCs w:val="22"/>
        </w:rPr>
        <w:tab/>
        <w:t xml:space="preserve">Draft Explanatory Statement </w:t>
      </w:r>
    </w:p>
    <w:p w14:paraId="366EAFE2" w14:textId="77777777" w:rsidR="00CE56F5" w:rsidRPr="004D60AC" w:rsidRDefault="00CE56F5" w:rsidP="00EB2898">
      <w:pPr>
        <w:pStyle w:val="Heading1"/>
        <w:widowControl/>
      </w:pPr>
      <w:bookmarkStart w:id="165" w:name="_Toc300933454"/>
      <w:r w:rsidRPr="004D60AC">
        <w:br w:type="page"/>
      </w:r>
      <w:bookmarkStart w:id="166" w:name="_Toc29883131"/>
      <w:bookmarkStart w:id="167" w:name="_Toc41906818"/>
      <w:bookmarkStart w:id="168" w:name="_Toc41907565"/>
      <w:bookmarkStart w:id="169" w:name="_Toc120358596"/>
      <w:bookmarkStart w:id="170" w:name="_Toc175381458"/>
      <w:bookmarkStart w:id="171" w:name="_Toc11735644"/>
      <w:bookmarkStart w:id="172" w:name="_Toc415572037"/>
      <w:bookmarkStart w:id="173" w:name="_Toc67321529"/>
      <w:bookmarkStart w:id="174" w:name="_Toc69987937"/>
      <w:bookmarkStart w:id="175" w:name="_Toc70002659"/>
      <w:r w:rsidRPr="004D60AC">
        <w:lastRenderedPageBreak/>
        <w:t xml:space="preserve">Attachment </w:t>
      </w:r>
      <w:bookmarkEnd w:id="166"/>
      <w:bookmarkEnd w:id="167"/>
      <w:bookmarkEnd w:id="168"/>
      <w:bookmarkEnd w:id="169"/>
      <w:bookmarkEnd w:id="170"/>
      <w:r w:rsidRPr="004D60AC">
        <w:t>A</w:t>
      </w:r>
      <w:bookmarkStart w:id="176" w:name="_Toc120358597"/>
      <w:bookmarkStart w:id="177" w:name="_Toc175381459"/>
      <w:bookmarkEnd w:id="171"/>
      <w:r w:rsidRPr="004D60AC">
        <w:t xml:space="preserve"> – </w:t>
      </w:r>
      <w:bookmarkStart w:id="178" w:name="_Toc415572039"/>
      <w:bookmarkEnd w:id="165"/>
      <w:bookmarkEnd w:id="172"/>
      <w:bookmarkEnd w:id="176"/>
      <w:bookmarkEnd w:id="177"/>
      <w:r w:rsidRPr="004D60AC">
        <w:t xml:space="preserve">Draft variation to the </w:t>
      </w:r>
      <w:r w:rsidRPr="00224984">
        <w:t>Australia New Zealand Food Standards Code</w:t>
      </w:r>
      <w:bookmarkEnd w:id="173"/>
      <w:bookmarkEnd w:id="174"/>
      <w:bookmarkEnd w:id="175"/>
      <w:r w:rsidRPr="004D60AC">
        <w:t xml:space="preserve"> </w:t>
      </w:r>
      <w:bookmarkEnd w:id="178"/>
    </w:p>
    <w:p w14:paraId="27253317" w14:textId="77777777" w:rsidR="00330CBD" w:rsidRPr="00C0014E" w:rsidRDefault="00330CBD" w:rsidP="00330CBD">
      <w:pPr>
        <w:rPr>
          <w:noProof/>
          <w:sz w:val="20"/>
          <w:lang w:eastAsia="en-AU"/>
        </w:rPr>
      </w:pPr>
      <w:r w:rsidRPr="00C0014E">
        <w:rPr>
          <w:noProof/>
          <w:sz w:val="20"/>
          <w:lang w:val="en-GB" w:eastAsia="en-GB" w:bidi="ar-SA"/>
        </w:rPr>
        <w:drawing>
          <wp:inline distT="0" distB="0" distL="0" distR="0" wp14:anchorId="62266BE7" wp14:editId="77065FE5">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925BFA3" w14:textId="77777777" w:rsidR="00330CBD" w:rsidRPr="006153A1" w:rsidRDefault="00330CBD" w:rsidP="00330CBD">
      <w:pPr>
        <w:pBdr>
          <w:bottom w:val="single" w:sz="4" w:space="1" w:color="auto"/>
        </w:pBdr>
        <w:rPr>
          <w:b/>
          <w:bCs/>
        </w:rPr>
      </w:pPr>
    </w:p>
    <w:p w14:paraId="1835B898" w14:textId="77777777" w:rsidR="00330CBD" w:rsidRDefault="00330CBD" w:rsidP="00330CBD">
      <w:pPr>
        <w:pBdr>
          <w:bottom w:val="single" w:sz="4" w:space="1" w:color="auto"/>
        </w:pBdr>
        <w:rPr>
          <w:b/>
          <w:sz w:val="20"/>
        </w:rPr>
      </w:pPr>
      <w:r w:rsidRPr="006153A1">
        <w:rPr>
          <w:b/>
          <w:sz w:val="20"/>
        </w:rPr>
        <w:t>Food Standards (</w:t>
      </w:r>
      <w:r w:rsidRPr="00F618DF">
        <w:rPr>
          <w:b/>
          <w:sz w:val="20"/>
        </w:rPr>
        <w:t>Application A</w:t>
      </w:r>
      <w:r>
        <w:rPr>
          <w:b/>
          <w:sz w:val="20"/>
        </w:rPr>
        <w:t>1178</w:t>
      </w:r>
      <w:r w:rsidRPr="00F618DF">
        <w:rPr>
          <w:b/>
          <w:sz w:val="20"/>
        </w:rPr>
        <w:t xml:space="preserve"> </w:t>
      </w:r>
      <w:r w:rsidRPr="00A32232">
        <w:rPr>
          <w:b/>
          <w:sz w:val="20"/>
        </w:rPr>
        <w:t>–</w:t>
      </w:r>
      <w:r>
        <w:rPr>
          <w:b/>
          <w:sz w:val="20"/>
        </w:rPr>
        <w:t xml:space="preserve"> Method AOAC 2017.16 as a new method of analysis for total dietary fibre)</w:t>
      </w:r>
      <w:r w:rsidRPr="00C0014E">
        <w:rPr>
          <w:b/>
          <w:sz w:val="20"/>
        </w:rPr>
        <w:t xml:space="preserve"> Variation</w:t>
      </w:r>
    </w:p>
    <w:p w14:paraId="5FF753AB" w14:textId="77777777" w:rsidR="00330CBD" w:rsidRPr="00C0014E" w:rsidRDefault="00330CBD" w:rsidP="00330CBD">
      <w:pPr>
        <w:pBdr>
          <w:bottom w:val="single" w:sz="4" w:space="1" w:color="auto"/>
        </w:pBdr>
        <w:rPr>
          <w:b/>
          <w:sz w:val="20"/>
        </w:rPr>
      </w:pPr>
    </w:p>
    <w:p w14:paraId="2E51A6A8" w14:textId="77777777" w:rsidR="00330CBD" w:rsidRPr="008F2616" w:rsidRDefault="00330CBD" w:rsidP="00330CBD">
      <w:pPr>
        <w:rPr>
          <w:sz w:val="20"/>
        </w:rPr>
      </w:pPr>
    </w:p>
    <w:p w14:paraId="0D734537" w14:textId="77777777" w:rsidR="00330CBD" w:rsidRPr="008F2616" w:rsidRDefault="00330CBD" w:rsidP="00330CBD">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1A32FBB7" w14:textId="77777777" w:rsidR="00330CBD" w:rsidRPr="008F2616" w:rsidRDefault="00330CBD" w:rsidP="00330CBD">
      <w:pPr>
        <w:rPr>
          <w:sz w:val="20"/>
        </w:rPr>
      </w:pPr>
    </w:p>
    <w:p w14:paraId="30EF5FD1" w14:textId="77777777" w:rsidR="00330CBD" w:rsidRPr="008F2616" w:rsidRDefault="00330CBD" w:rsidP="00330CBD">
      <w:pPr>
        <w:rPr>
          <w:sz w:val="20"/>
        </w:rPr>
      </w:pPr>
      <w:r w:rsidRPr="008F2616">
        <w:rPr>
          <w:sz w:val="20"/>
        </w:rPr>
        <w:t xml:space="preserve">Dated </w:t>
      </w:r>
      <w:r w:rsidRPr="006F37AC">
        <w:rPr>
          <w:color w:val="FF0000"/>
          <w:sz w:val="20"/>
        </w:rPr>
        <w:t>[To be completed by Delegate]</w:t>
      </w:r>
    </w:p>
    <w:p w14:paraId="6A3BA193" w14:textId="77777777" w:rsidR="00330CBD" w:rsidRPr="008F2616" w:rsidRDefault="00330CBD" w:rsidP="00330CBD">
      <w:pPr>
        <w:rPr>
          <w:sz w:val="20"/>
        </w:rPr>
      </w:pPr>
    </w:p>
    <w:p w14:paraId="0CB27DA4" w14:textId="77777777" w:rsidR="00330CBD" w:rsidRDefault="00330CBD" w:rsidP="00330CBD">
      <w:pPr>
        <w:rPr>
          <w:sz w:val="20"/>
        </w:rPr>
      </w:pPr>
    </w:p>
    <w:p w14:paraId="368AAC02" w14:textId="77777777" w:rsidR="00330CBD" w:rsidRDefault="00330CBD" w:rsidP="00330CBD">
      <w:pPr>
        <w:rPr>
          <w:sz w:val="20"/>
        </w:rPr>
      </w:pPr>
    </w:p>
    <w:p w14:paraId="00F5A1BF" w14:textId="77777777" w:rsidR="00330CBD" w:rsidRPr="008F2616" w:rsidRDefault="00330CBD" w:rsidP="00330CBD">
      <w:pPr>
        <w:rPr>
          <w:sz w:val="20"/>
        </w:rPr>
      </w:pPr>
    </w:p>
    <w:p w14:paraId="6A4AC7C5" w14:textId="77777777" w:rsidR="00330CBD" w:rsidRPr="008F2616" w:rsidRDefault="00330CBD" w:rsidP="00330CBD">
      <w:pPr>
        <w:rPr>
          <w:sz w:val="20"/>
        </w:rPr>
      </w:pPr>
    </w:p>
    <w:p w14:paraId="51DEB0ED" w14:textId="0470694E" w:rsidR="00330CBD" w:rsidRPr="00330CBD" w:rsidRDefault="00330CBD" w:rsidP="00330CBD">
      <w:pPr>
        <w:rPr>
          <w:sz w:val="20"/>
        </w:rPr>
      </w:pPr>
      <w:r w:rsidRPr="00330CBD">
        <w:rPr>
          <w:sz w:val="20"/>
        </w:rPr>
        <w:t>Glen Neal</w:t>
      </w:r>
    </w:p>
    <w:p w14:paraId="673649AA" w14:textId="77777777" w:rsidR="00330CBD" w:rsidRPr="008F2616" w:rsidRDefault="00330CBD" w:rsidP="00330CBD">
      <w:pPr>
        <w:rPr>
          <w:sz w:val="20"/>
        </w:rPr>
      </w:pPr>
      <w:r w:rsidRPr="008F2616">
        <w:rPr>
          <w:sz w:val="20"/>
        </w:rPr>
        <w:t>Delegate of the Board of Food Standards Australia New Zealand</w:t>
      </w:r>
    </w:p>
    <w:p w14:paraId="28B4E93C" w14:textId="77777777" w:rsidR="00330CBD" w:rsidRDefault="00330CBD" w:rsidP="00330CBD">
      <w:pPr>
        <w:rPr>
          <w:sz w:val="20"/>
        </w:rPr>
      </w:pPr>
    </w:p>
    <w:p w14:paraId="3F645A8B" w14:textId="77777777" w:rsidR="00330CBD" w:rsidRDefault="00330CBD" w:rsidP="00330CBD">
      <w:pPr>
        <w:rPr>
          <w:sz w:val="20"/>
        </w:rPr>
      </w:pPr>
    </w:p>
    <w:p w14:paraId="07F265BC" w14:textId="77777777" w:rsidR="00330CBD" w:rsidRDefault="00330CBD" w:rsidP="00330CBD">
      <w:pPr>
        <w:rPr>
          <w:sz w:val="20"/>
        </w:rPr>
      </w:pPr>
    </w:p>
    <w:p w14:paraId="79358B99" w14:textId="77777777" w:rsidR="00330CBD" w:rsidRDefault="00330CBD" w:rsidP="00330CBD">
      <w:pPr>
        <w:rPr>
          <w:sz w:val="20"/>
        </w:rPr>
      </w:pPr>
    </w:p>
    <w:p w14:paraId="16397687" w14:textId="77777777" w:rsidR="00330CBD" w:rsidRDefault="00330CBD" w:rsidP="00330CBD">
      <w:pPr>
        <w:rPr>
          <w:sz w:val="20"/>
        </w:rPr>
      </w:pPr>
    </w:p>
    <w:p w14:paraId="3584DBF4" w14:textId="77777777" w:rsidR="00330CBD" w:rsidRPr="00360C8F" w:rsidRDefault="00330CBD" w:rsidP="00330CBD">
      <w:pPr>
        <w:pBdr>
          <w:top w:val="single" w:sz="4" w:space="1" w:color="auto"/>
          <w:left w:val="single" w:sz="4" w:space="4" w:color="auto"/>
          <w:bottom w:val="single" w:sz="4" w:space="1" w:color="auto"/>
          <w:right w:val="single" w:sz="4" w:space="4" w:color="auto"/>
        </w:pBdr>
        <w:rPr>
          <w:b/>
          <w:sz w:val="20"/>
        </w:rPr>
      </w:pPr>
      <w:r w:rsidRPr="00360C8F">
        <w:rPr>
          <w:b/>
          <w:sz w:val="20"/>
        </w:rPr>
        <w:t xml:space="preserve">Note:  </w:t>
      </w:r>
    </w:p>
    <w:p w14:paraId="44F70159" w14:textId="77777777" w:rsidR="00330CBD" w:rsidRPr="00360C8F" w:rsidRDefault="00330CBD" w:rsidP="00330CBD">
      <w:pPr>
        <w:pBdr>
          <w:top w:val="single" w:sz="4" w:space="1" w:color="auto"/>
          <w:left w:val="single" w:sz="4" w:space="4" w:color="auto"/>
          <w:bottom w:val="single" w:sz="4" w:space="1" w:color="auto"/>
          <w:right w:val="single" w:sz="4" w:space="4" w:color="auto"/>
        </w:pBdr>
        <w:rPr>
          <w:sz w:val="20"/>
        </w:rPr>
      </w:pPr>
    </w:p>
    <w:p w14:paraId="52FB87C6" w14:textId="77777777" w:rsidR="00330CBD" w:rsidRPr="00360C8F" w:rsidRDefault="00330CBD" w:rsidP="00330CBD">
      <w:pPr>
        <w:pBdr>
          <w:top w:val="single" w:sz="4" w:space="1" w:color="auto"/>
          <w:left w:val="single" w:sz="4" w:space="4" w:color="auto"/>
          <w:bottom w:val="single" w:sz="4" w:space="1" w:color="auto"/>
          <w:right w:val="single" w:sz="4" w:space="4" w:color="auto"/>
        </w:pBdr>
        <w:rPr>
          <w:sz w:val="20"/>
        </w:rPr>
      </w:pPr>
      <w:r w:rsidRPr="00360C8F">
        <w:rPr>
          <w:sz w:val="20"/>
        </w:rPr>
        <w:t xml:space="preserve">This variation will be published in the Commonwealth of Australia Gazette No. FSC </w:t>
      </w:r>
      <w:r w:rsidRPr="00360C8F">
        <w:rPr>
          <w:color w:val="FF0000"/>
          <w:sz w:val="20"/>
        </w:rPr>
        <w:t>XX on XX Month 20XX</w:t>
      </w:r>
      <w:r w:rsidRPr="00360C8F">
        <w:rPr>
          <w:sz w:val="20"/>
        </w:rPr>
        <w:t xml:space="preserve">. This means that this date is the gazettal date for the purposes of clause 3 of the variation. </w:t>
      </w:r>
    </w:p>
    <w:p w14:paraId="1694ABF8" w14:textId="77777777" w:rsidR="00330CBD" w:rsidRDefault="00330CBD" w:rsidP="00330CBD">
      <w:pPr>
        <w:rPr>
          <w:sz w:val="20"/>
        </w:rPr>
      </w:pPr>
    </w:p>
    <w:p w14:paraId="6096184B" w14:textId="77777777" w:rsidR="00330CBD" w:rsidRDefault="00330CBD" w:rsidP="00330CBD">
      <w:pPr>
        <w:widowControl/>
        <w:rPr>
          <w:sz w:val="20"/>
        </w:rPr>
      </w:pPr>
      <w:r>
        <w:rPr>
          <w:sz w:val="20"/>
        </w:rPr>
        <w:br w:type="page"/>
      </w:r>
    </w:p>
    <w:p w14:paraId="792ECEDB" w14:textId="77777777" w:rsidR="00330CBD" w:rsidRPr="005F585D" w:rsidRDefault="00330CBD" w:rsidP="00330CBD">
      <w:pPr>
        <w:pStyle w:val="FSCDraftingitemheading"/>
      </w:pPr>
      <w:r w:rsidRPr="00D433B1">
        <w:lastRenderedPageBreak/>
        <w:t>1</w:t>
      </w:r>
      <w:r w:rsidRPr="00D433B1">
        <w:tab/>
        <w:t>Name</w:t>
      </w:r>
    </w:p>
    <w:p w14:paraId="13C2B10E" w14:textId="77777777" w:rsidR="00330CBD" w:rsidRPr="00F618DF" w:rsidRDefault="00330CBD" w:rsidP="00330CBD">
      <w:pPr>
        <w:pStyle w:val="FSCDraftingitem"/>
      </w:pPr>
      <w:r w:rsidRPr="00DB170D">
        <w:t xml:space="preserve">This instrument is the </w:t>
      </w:r>
      <w:r w:rsidRPr="00792F7C">
        <w:rPr>
          <w:i/>
        </w:rPr>
        <w:t>Food Standards (</w:t>
      </w:r>
      <w:r w:rsidRPr="00A5343E">
        <w:rPr>
          <w:i/>
        </w:rPr>
        <w:t>Application A1178 – Method AOAC 2017.16 as a new method of analysis for total dietary fibre</w:t>
      </w:r>
      <w:r>
        <w:rPr>
          <w:i/>
        </w:rPr>
        <w:t xml:space="preserve">) </w:t>
      </w:r>
      <w:r w:rsidRPr="00792F7C">
        <w:rPr>
          <w:i/>
        </w:rPr>
        <w:t>Variation</w:t>
      </w:r>
      <w:r w:rsidRPr="00F618DF">
        <w:t>.</w:t>
      </w:r>
    </w:p>
    <w:p w14:paraId="2F0F258D" w14:textId="77777777" w:rsidR="00330CBD" w:rsidRPr="00E26F38" w:rsidRDefault="00330CBD" w:rsidP="00330CBD">
      <w:pPr>
        <w:pStyle w:val="FSCDraftingitemheading"/>
      </w:pPr>
      <w:r w:rsidRPr="00D433B1">
        <w:t>2</w:t>
      </w:r>
      <w:r w:rsidRPr="00D433B1">
        <w:tab/>
      </w:r>
      <w:r w:rsidRPr="00E26F38">
        <w:t xml:space="preserve">Variation to a standard in the </w:t>
      </w:r>
      <w:r w:rsidRPr="00E26F38">
        <w:rPr>
          <w:i/>
        </w:rPr>
        <w:t>Australia New Zealand Food Standards Code</w:t>
      </w:r>
    </w:p>
    <w:p w14:paraId="7320664A" w14:textId="0016F641" w:rsidR="00330CBD" w:rsidRDefault="00330CBD" w:rsidP="00330CBD">
      <w:pPr>
        <w:pStyle w:val="FSCDraftingitem"/>
      </w:pPr>
      <w:r w:rsidRPr="00E26F38">
        <w:t xml:space="preserve">The Schedule varies a </w:t>
      </w:r>
      <w:r w:rsidR="003A25E8">
        <w:t>s</w:t>
      </w:r>
      <w:r w:rsidR="003A25E8" w:rsidRPr="00E26F38">
        <w:t xml:space="preserve">tandard </w:t>
      </w:r>
      <w:r w:rsidRPr="00E26F38">
        <w:t xml:space="preserve">in </w:t>
      </w:r>
      <w:r>
        <w:t xml:space="preserve">the </w:t>
      </w:r>
      <w:r w:rsidRPr="00792F7C">
        <w:rPr>
          <w:i/>
        </w:rPr>
        <w:t>Australia New Zealand Food Standards Code</w:t>
      </w:r>
      <w:r>
        <w:t>.</w:t>
      </w:r>
    </w:p>
    <w:p w14:paraId="3D011D71" w14:textId="77777777" w:rsidR="00330CBD" w:rsidRPr="00D433B1" w:rsidRDefault="00330CBD" w:rsidP="00330CBD">
      <w:pPr>
        <w:pStyle w:val="FSCDraftingitemheading"/>
      </w:pPr>
      <w:r w:rsidRPr="00D433B1">
        <w:t>3</w:t>
      </w:r>
      <w:r w:rsidRPr="00D433B1">
        <w:tab/>
        <w:t>Commencement</w:t>
      </w:r>
    </w:p>
    <w:p w14:paraId="6ED35BED" w14:textId="77777777" w:rsidR="00330CBD" w:rsidRDefault="00330CBD" w:rsidP="00330CBD">
      <w:pPr>
        <w:pStyle w:val="FSCDraftingitem"/>
      </w:pPr>
      <w:r>
        <w:t>The variation commenc</w:t>
      </w:r>
      <w:r w:rsidRPr="000055C4">
        <w:t>e</w:t>
      </w:r>
      <w:r>
        <w:t>s</w:t>
      </w:r>
      <w:r w:rsidRPr="000055C4">
        <w:t xml:space="preserve"> on</w:t>
      </w:r>
      <w:r>
        <w:t xml:space="preserve"> the date of gazettal.</w:t>
      </w:r>
    </w:p>
    <w:p w14:paraId="3D7A982C" w14:textId="77777777" w:rsidR="00330CBD" w:rsidRPr="00D433B1" w:rsidRDefault="00330CBD" w:rsidP="00330CBD">
      <w:pPr>
        <w:jc w:val="center"/>
        <w:rPr>
          <w:b/>
          <w:sz w:val="20"/>
        </w:rPr>
      </w:pPr>
      <w:r w:rsidRPr="00D433B1">
        <w:rPr>
          <w:b/>
          <w:sz w:val="20"/>
        </w:rPr>
        <w:t>Schedule</w:t>
      </w:r>
    </w:p>
    <w:p w14:paraId="232C9A3E" w14:textId="77777777" w:rsidR="00330CBD" w:rsidRPr="00E26F38" w:rsidRDefault="00330CBD" w:rsidP="00330CBD">
      <w:pPr>
        <w:pStyle w:val="FSCDraftingitem"/>
      </w:pPr>
      <w:r w:rsidRPr="00E26F38">
        <w:rPr>
          <w:b/>
          <w:lang w:bidi="en-US"/>
        </w:rPr>
        <w:t>[1]</w:t>
      </w:r>
      <w:r w:rsidRPr="00E26F38">
        <w:rPr>
          <w:b/>
          <w:lang w:bidi="en-US"/>
        </w:rPr>
        <w:tab/>
        <w:t xml:space="preserve"> Schedule </w:t>
      </w:r>
      <w:r>
        <w:rPr>
          <w:b/>
          <w:lang w:bidi="en-US"/>
        </w:rPr>
        <w:t>11</w:t>
      </w:r>
      <w:r w:rsidRPr="00E26F38">
        <w:rPr>
          <w:lang w:bidi="en-US"/>
        </w:rPr>
        <w:t xml:space="preserve"> is varied by</w:t>
      </w:r>
    </w:p>
    <w:p w14:paraId="0125F03A" w14:textId="77777777" w:rsidR="00330CBD" w:rsidRDefault="00330CBD" w:rsidP="00330CBD">
      <w:pPr>
        <w:pStyle w:val="FSCDraftingitem"/>
      </w:pPr>
      <w:r w:rsidRPr="00E26F38">
        <w:t>[1.1]</w:t>
      </w:r>
      <w:r w:rsidRPr="00E26F38">
        <w:tab/>
      </w:r>
      <w:r>
        <w:t>omitting paragraph S11—4(2)(a), substituting</w:t>
      </w:r>
    </w:p>
    <w:p w14:paraId="277DA149" w14:textId="77777777" w:rsidR="00330CBD" w:rsidRPr="00E26F38" w:rsidRDefault="00330CBD" w:rsidP="00330CBD">
      <w:pPr>
        <w:pStyle w:val="FSCtPara"/>
        <w:ind w:left="1985" w:hanging="851"/>
      </w:pPr>
      <w:r>
        <w:t>(a)</w:t>
      </w:r>
      <w:r>
        <w:tab/>
      </w:r>
      <w:r w:rsidRPr="00D64DBB">
        <w:t>for dietary fibre—sections 985.29</w:t>
      </w:r>
      <w:r>
        <w:t>,</w:t>
      </w:r>
      <w:r w:rsidRPr="00D64DBB">
        <w:t xml:space="preserve"> or 991.43</w:t>
      </w:r>
      <w:r>
        <w:t>, or 2017.16</w:t>
      </w:r>
      <w:r w:rsidRPr="00D64DBB">
        <w:t>;</w:t>
      </w:r>
    </w:p>
    <w:p w14:paraId="19A13A8D" w14:textId="77777777" w:rsidR="00330CBD" w:rsidRDefault="00330CBD" w:rsidP="00330CBD">
      <w:pPr>
        <w:pStyle w:val="FSCDraftingitem"/>
      </w:pPr>
      <w:r w:rsidRPr="00E26F38">
        <w:t>[1.</w:t>
      </w:r>
      <w:r>
        <w:t>2</w:t>
      </w:r>
      <w:r w:rsidRPr="00E26F38">
        <w:t>]</w:t>
      </w:r>
      <w:r w:rsidRPr="00E26F38">
        <w:tab/>
      </w:r>
      <w:r>
        <w:t>omitting subsection S11—4(4), substituting</w:t>
      </w:r>
    </w:p>
    <w:p w14:paraId="594FE7B5" w14:textId="77777777" w:rsidR="00330CBD" w:rsidRDefault="00330CBD" w:rsidP="00330CBD">
      <w:pPr>
        <w:pStyle w:val="FSCtMain"/>
        <w:ind w:hanging="1134"/>
      </w:pPr>
      <w:r w:rsidRPr="004B2634">
        <w:t>(4)</w:t>
      </w:r>
      <w:r>
        <w:tab/>
        <w:t>In this section:</w:t>
      </w:r>
    </w:p>
    <w:p w14:paraId="697900F3" w14:textId="77777777" w:rsidR="00330CBD" w:rsidRDefault="00330CBD" w:rsidP="00330CBD">
      <w:pPr>
        <w:pStyle w:val="FSCtMain"/>
        <w:ind w:left="1134"/>
      </w:pPr>
      <w:r>
        <w:tab/>
      </w:r>
      <w:r w:rsidRPr="008266F0">
        <w:t xml:space="preserve">AOAC means the </w:t>
      </w:r>
      <w:r w:rsidRPr="008266F0">
        <w:rPr>
          <w:i/>
        </w:rPr>
        <w:t>Official Methods of Analysis of AOAC International</w:t>
      </w:r>
      <w:r w:rsidRPr="008266F0">
        <w:t>, twenty first edition, 2019, published by AOAC International, Maryland USA.</w:t>
      </w:r>
    </w:p>
    <w:p w14:paraId="4F5E4B17" w14:textId="77777777" w:rsidR="00CE56F5" w:rsidRPr="004D60AC" w:rsidRDefault="00CE56F5" w:rsidP="00EB2898">
      <w:pPr>
        <w:widowControl/>
        <w:rPr>
          <w:rFonts w:cs="Arial"/>
          <w:szCs w:val="22"/>
          <w:lang w:bidi="ar-SA"/>
        </w:rPr>
      </w:pPr>
    </w:p>
    <w:p w14:paraId="6F7390F6" w14:textId="77777777" w:rsidR="00CE56F5" w:rsidRPr="004D60AC" w:rsidRDefault="00CE56F5" w:rsidP="00EB2898">
      <w:pPr>
        <w:widowControl/>
        <w:rPr>
          <w:rFonts w:cs="Arial"/>
          <w:szCs w:val="22"/>
          <w:lang w:eastAsia="en-GB" w:bidi="ar-SA"/>
        </w:rPr>
      </w:pPr>
      <w:r w:rsidRPr="004D60AC">
        <w:rPr>
          <w:rFonts w:cs="Arial"/>
          <w:szCs w:val="22"/>
        </w:rPr>
        <w:br w:type="page"/>
      </w:r>
    </w:p>
    <w:p w14:paraId="27E585B6" w14:textId="77777777" w:rsidR="00330CBD" w:rsidRPr="00624DD2" w:rsidRDefault="00330CBD" w:rsidP="00330CBD">
      <w:pPr>
        <w:pStyle w:val="Heading2"/>
        <w:widowControl/>
        <w:ind w:left="0" w:firstLine="0"/>
        <w:rPr>
          <w:lang w:val="en-US"/>
        </w:rPr>
      </w:pPr>
      <w:bookmarkStart w:id="179" w:name="_Toc494984627"/>
      <w:bookmarkStart w:id="180" w:name="_Toc506303134"/>
      <w:bookmarkStart w:id="181" w:name="_Toc69987938"/>
      <w:bookmarkStart w:id="182" w:name="_Toc70002660"/>
      <w:r w:rsidRPr="00624DD2">
        <w:rPr>
          <w:lang w:val="en-US"/>
        </w:rPr>
        <w:lastRenderedPageBreak/>
        <w:t>A</w:t>
      </w:r>
      <w:r w:rsidRPr="00624DD2">
        <w:t xml:space="preserve">ttachment B – </w:t>
      </w:r>
      <w:r>
        <w:t xml:space="preserve">Draft </w:t>
      </w:r>
      <w:r w:rsidRPr="00624DD2">
        <w:t>Explanatory Statement</w:t>
      </w:r>
      <w:bookmarkEnd w:id="179"/>
      <w:bookmarkEnd w:id="180"/>
      <w:bookmarkEnd w:id="181"/>
      <w:bookmarkEnd w:id="182"/>
      <w:r w:rsidRPr="00624DD2">
        <w:rPr>
          <w:lang w:val="en-US"/>
        </w:rPr>
        <w:t xml:space="preserve">  </w:t>
      </w:r>
    </w:p>
    <w:p w14:paraId="2B476F9C" w14:textId="77777777" w:rsidR="00330CBD" w:rsidRDefault="00330CBD" w:rsidP="00330CBD">
      <w:pPr>
        <w:widowControl/>
        <w:rPr>
          <w:b/>
          <w:lang w:eastAsia="en-GB"/>
        </w:rPr>
      </w:pPr>
    </w:p>
    <w:p w14:paraId="6E917B00" w14:textId="77777777" w:rsidR="00330CBD" w:rsidRPr="00624DD2" w:rsidRDefault="00330CBD" w:rsidP="00330CBD">
      <w:pPr>
        <w:widowControl/>
        <w:rPr>
          <w:b/>
          <w:lang w:eastAsia="en-GB"/>
        </w:rPr>
      </w:pPr>
      <w:r w:rsidRPr="00624DD2">
        <w:rPr>
          <w:b/>
          <w:lang w:eastAsia="en-GB"/>
        </w:rPr>
        <w:t>1.</w:t>
      </w:r>
      <w:r w:rsidRPr="00624DD2">
        <w:rPr>
          <w:b/>
          <w:lang w:eastAsia="en-GB"/>
        </w:rPr>
        <w:tab/>
        <w:t>Authority</w:t>
      </w:r>
    </w:p>
    <w:p w14:paraId="5E28AC34" w14:textId="77777777" w:rsidR="00330CBD" w:rsidRPr="00624DD2" w:rsidRDefault="00330CBD" w:rsidP="00330CBD">
      <w:pPr>
        <w:widowControl/>
        <w:rPr>
          <w:lang w:eastAsia="en-GB"/>
        </w:rPr>
      </w:pPr>
    </w:p>
    <w:p w14:paraId="596334CF" w14:textId="77777777" w:rsidR="00330CBD" w:rsidRPr="00624DD2" w:rsidRDefault="00330CBD" w:rsidP="00330CBD">
      <w:pPr>
        <w:widowControl/>
        <w:autoSpaceDE w:val="0"/>
        <w:autoSpaceDN w:val="0"/>
        <w:adjustRightInd w:val="0"/>
        <w:rPr>
          <w:rFonts w:eastAsia="Calibri" w:cs="Arial"/>
          <w:bCs/>
          <w:szCs w:val="22"/>
        </w:rPr>
      </w:pPr>
      <w:r w:rsidRPr="00624DD2">
        <w:rPr>
          <w:rFonts w:eastAsia="Calibri" w:cs="Arial"/>
          <w:bCs/>
          <w:szCs w:val="22"/>
        </w:rPr>
        <w:t xml:space="preserve">Section 13 of the </w:t>
      </w:r>
      <w:r w:rsidRPr="003C4CF0">
        <w:rPr>
          <w:rFonts w:eastAsia="Calibri" w:cs="Arial"/>
          <w:bCs/>
          <w:i/>
          <w:szCs w:val="22"/>
        </w:rPr>
        <w:t>Food Standards Australia New Zealand Act 1991</w:t>
      </w:r>
      <w:r w:rsidRPr="00624DD2">
        <w:rPr>
          <w:rFonts w:eastAsia="Calibri" w:cs="Arial"/>
          <w:bCs/>
          <w:szCs w:val="22"/>
        </w:rPr>
        <w:t xml:space="preserve"> (the FSANZ Act) provides that the functions of Food Standards Australia New Zealand (the Authority) include the development of standards and variations of standards for inclusion in the </w:t>
      </w:r>
      <w:r w:rsidRPr="003C4CF0">
        <w:rPr>
          <w:rFonts w:eastAsia="Calibri" w:cs="Arial"/>
          <w:bCs/>
          <w:i/>
          <w:szCs w:val="22"/>
        </w:rPr>
        <w:t>Australia New Zealand Food Standards Code</w:t>
      </w:r>
      <w:r w:rsidRPr="00624DD2">
        <w:rPr>
          <w:rFonts w:eastAsia="Calibri" w:cs="Arial"/>
          <w:bCs/>
          <w:szCs w:val="22"/>
        </w:rPr>
        <w:t xml:space="preserve"> (the Code).</w:t>
      </w:r>
    </w:p>
    <w:p w14:paraId="4DEDD4F2" w14:textId="77777777" w:rsidR="00330CBD" w:rsidRPr="00624DD2" w:rsidRDefault="00330CBD" w:rsidP="00330CBD">
      <w:pPr>
        <w:widowControl/>
        <w:autoSpaceDE w:val="0"/>
        <w:autoSpaceDN w:val="0"/>
        <w:adjustRightInd w:val="0"/>
        <w:rPr>
          <w:rFonts w:eastAsia="Calibri" w:cs="Arial"/>
          <w:bCs/>
          <w:szCs w:val="22"/>
        </w:rPr>
      </w:pPr>
    </w:p>
    <w:p w14:paraId="380F2966" w14:textId="77777777" w:rsidR="00330CBD" w:rsidRPr="00624DD2" w:rsidRDefault="00330CBD" w:rsidP="00330CBD">
      <w:pPr>
        <w:widowControl/>
        <w:autoSpaceDE w:val="0"/>
        <w:autoSpaceDN w:val="0"/>
        <w:adjustRightInd w:val="0"/>
        <w:rPr>
          <w:rFonts w:eastAsia="Calibri" w:cs="Arial"/>
          <w:bCs/>
          <w:szCs w:val="22"/>
        </w:rPr>
      </w:pPr>
      <w:r w:rsidRPr="00624DD2">
        <w:rPr>
          <w:rFonts w:eastAsia="Calibri" w:cs="Arial"/>
          <w:bCs/>
          <w:szCs w:val="22"/>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8B3ED98" w14:textId="77777777" w:rsidR="00330CBD" w:rsidRPr="00624DD2" w:rsidRDefault="00330CBD" w:rsidP="00330CBD">
      <w:pPr>
        <w:widowControl/>
        <w:autoSpaceDE w:val="0"/>
        <w:autoSpaceDN w:val="0"/>
        <w:adjustRightInd w:val="0"/>
        <w:rPr>
          <w:rFonts w:eastAsia="Calibri" w:cs="Arial"/>
          <w:bCs/>
          <w:szCs w:val="22"/>
        </w:rPr>
      </w:pPr>
    </w:p>
    <w:p w14:paraId="69AEBB41" w14:textId="574FE99B" w:rsidR="00330CBD" w:rsidRPr="00624DD2" w:rsidRDefault="00330CBD" w:rsidP="00330CBD">
      <w:pPr>
        <w:widowControl/>
        <w:autoSpaceDE w:val="0"/>
        <w:autoSpaceDN w:val="0"/>
        <w:adjustRightInd w:val="0"/>
        <w:rPr>
          <w:rFonts w:eastAsia="Calibri" w:cs="Arial"/>
          <w:bCs/>
          <w:szCs w:val="22"/>
        </w:rPr>
      </w:pPr>
      <w:r>
        <w:rPr>
          <w:rFonts w:eastAsia="Calibri" w:cs="Arial"/>
          <w:bCs/>
          <w:szCs w:val="22"/>
        </w:rPr>
        <w:t>The Authority</w:t>
      </w:r>
      <w:r w:rsidRPr="00624DD2">
        <w:rPr>
          <w:rFonts w:eastAsia="Calibri" w:cs="Arial"/>
          <w:bCs/>
          <w:szCs w:val="22"/>
        </w:rPr>
        <w:t xml:space="preserve"> accepted Application A11</w:t>
      </w:r>
      <w:r>
        <w:rPr>
          <w:rFonts w:eastAsia="Calibri" w:cs="Arial"/>
          <w:bCs/>
          <w:szCs w:val="22"/>
        </w:rPr>
        <w:t>78</w:t>
      </w:r>
      <w:r w:rsidRPr="00624DD2">
        <w:rPr>
          <w:rFonts w:eastAsia="Calibri" w:cs="Arial"/>
          <w:bCs/>
          <w:szCs w:val="22"/>
        </w:rPr>
        <w:t xml:space="preserve"> which sought an amendment to</w:t>
      </w:r>
      <w:r w:rsidRPr="00624DD2">
        <w:rPr>
          <w:rFonts w:cs="Arial"/>
          <w:szCs w:val="22"/>
        </w:rPr>
        <w:t xml:space="preserve"> the Code to permit the use of a </w:t>
      </w:r>
      <w:r>
        <w:rPr>
          <w:rFonts w:cs="Arial"/>
          <w:szCs w:val="22"/>
        </w:rPr>
        <w:t xml:space="preserve">new </w:t>
      </w:r>
      <w:r w:rsidRPr="00624DD2">
        <w:rPr>
          <w:rFonts w:cs="Arial"/>
          <w:szCs w:val="22"/>
        </w:rPr>
        <w:t xml:space="preserve">method of analysis for determining </w:t>
      </w:r>
      <w:r w:rsidR="00131BC3">
        <w:rPr>
          <w:rFonts w:cs="Arial"/>
          <w:szCs w:val="22"/>
        </w:rPr>
        <w:t>total</w:t>
      </w:r>
      <w:r>
        <w:rPr>
          <w:rFonts w:cs="Arial"/>
          <w:szCs w:val="22"/>
        </w:rPr>
        <w:t xml:space="preserve"> dietary</w:t>
      </w:r>
      <w:r w:rsidRPr="00624DD2">
        <w:rPr>
          <w:rFonts w:cs="Arial"/>
          <w:szCs w:val="22"/>
        </w:rPr>
        <w:t xml:space="preserve"> </w:t>
      </w:r>
      <w:r>
        <w:rPr>
          <w:rFonts w:cs="Arial"/>
          <w:szCs w:val="22"/>
        </w:rPr>
        <w:t xml:space="preserve">fibre </w:t>
      </w:r>
      <w:r w:rsidRPr="00624DD2">
        <w:rPr>
          <w:rFonts w:cs="Arial"/>
          <w:szCs w:val="22"/>
        </w:rPr>
        <w:t xml:space="preserve">in food. The method </w:t>
      </w:r>
      <w:r>
        <w:rPr>
          <w:rFonts w:cs="Arial"/>
          <w:szCs w:val="22"/>
        </w:rPr>
        <w:t>i</w:t>
      </w:r>
      <w:r w:rsidRPr="00624DD2">
        <w:rPr>
          <w:rFonts w:cs="Arial"/>
          <w:szCs w:val="22"/>
        </w:rPr>
        <w:t>s AOAC</w:t>
      </w:r>
      <w:r w:rsidRPr="00624DD2">
        <w:rPr>
          <w:rStyle w:val="FootnoteReference"/>
          <w:rFonts w:cs="Arial"/>
          <w:szCs w:val="22"/>
        </w:rPr>
        <w:footnoteReference w:id="11"/>
      </w:r>
      <w:r w:rsidRPr="00624DD2">
        <w:rPr>
          <w:rFonts w:cs="Arial"/>
          <w:szCs w:val="22"/>
        </w:rPr>
        <w:t xml:space="preserve"> Official Method </w:t>
      </w:r>
      <w:r>
        <w:rPr>
          <w:rFonts w:cs="Arial"/>
          <w:szCs w:val="22"/>
        </w:rPr>
        <w:t>2017.16</w:t>
      </w:r>
      <w:r w:rsidRPr="00624DD2">
        <w:rPr>
          <w:rFonts w:cs="Arial"/>
          <w:szCs w:val="22"/>
        </w:rPr>
        <w:t xml:space="preserve"> (</w:t>
      </w:r>
      <w:r>
        <w:rPr>
          <w:rFonts w:cs="Arial"/>
          <w:bCs/>
          <w:szCs w:val="22"/>
        </w:rPr>
        <w:t>Rapid Integrated Total Dietary Fibre method of analysis</w:t>
      </w:r>
      <w:r w:rsidRPr="00624DD2">
        <w:rPr>
          <w:rFonts w:cs="Arial"/>
          <w:bCs/>
          <w:szCs w:val="22"/>
        </w:rPr>
        <w:t>)</w:t>
      </w:r>
      <w:r w:rsidR="00F41052">
        <w:rPr>
          <w:rFonts w:cs="Arial"/>
          <w:bCs/>
          <w:szCs w:val="22"/>
        </w:rPr>
        <w:t xml:space="preserve"> (AOAC 2017.16)</w:t>
      </w:r>
      <w:r w:rsidRPr="00624DD2">
        <w:rPr>
          <w:rFonts w:cs="Arial"/>
          <w:bCs/>
          <w:szCs w:val="22"/>
        </w:rPr>
        <w:t>.</w:t>
      </w:r>
      <w:r>
        <w:rPr>
          <w:rFonts w:cs="Arial"/>
          <w:bCs/>
          <w:szCs w:val="22"/>
        </w:rPr>
        <w:t xml:space="preserve"> </w:t>
      </w:r>
      <w:r w:rsidRPr="00624DD2">
        <w:rPr>
          <w:rFonts w:eastAsia="Calibri" w:cs="Arial"/>
          <w:bCs/>
          <w:szCs w:val="22"/>
        </w:rPr>
        <w:t xml:space="preserve">The Authority considered the Application in accordance with Division 1 of Part 3 </w:t>
      </w:r>
      <w:r>
        <w:rPr>
          <w:rFonts w:eastAsia="Calibri" w:cs="Arial"/>
          <w:bCs/>
          <w:szCs w:val="22"/>
        </w:rPr>
        <w:t xml:space="preserve">of the FSANZ Act </w:t>
      </w:r>
      <w:r w:rsidRPr="00624DD2">
        <w:rPr>
          <w:rFonts w:eastAsia="Calibri" w:cs="Arial"/>
          <w:bCs/>
          <w:szCs w:val="22"/>
        </w:rPr>
        <w:t xml:space="preserve">and has </w:t>
      </w:r>
      <w:r>
        <w:rPr>
          <w:rFonts w:eastAsia="Calibri" w:cs="Arial"/>
          <w:bCs/>
          <w:szCs w:val="22"/>
        </w:rPr>
        <w:t>prepared</w:t>
      </w:r>
      <w:r w:rsidRPr="00624DD2">
        <w:rPr>
          <w:rFonts w:eastAsia="Calibri" w:cs="Arial"/>
          <w:bCs/>
          <w:szCs w:val="22"/>
        </w:rPr>
        <w:t xml:space="preserve"> a draft variation. </w:t>
      </w:r>
    </w:p>
    <w:p w14:paraId="6F52A10D" w14:textId="77777777" w:rsidR="00330CBD" w:rsidRPr="00624DD2" w:rsidRDefault="00330CBD" w:rsidP="00330CBD">
      <w:pPr>
        <w:widowControl/>
        <w:autoSpaceDE w:val="0"/>
        <w:autoSpaceDN w:val="0"/>
        <w:adjustRightInd w:val="0"/>
        <w:rPr>
          <w:rFonts w:eastAsia="Calibri" w:cs="Arial"/>
          <w:bCs/>
          <w:szCs w:val="22"/>
        </w:rPr>
      </w:pPr>
    </w:p>
    <w:p w14:paraId="4FF953E7" w14:textId="77777777" w:rsidR="00330CBD" w:rsidRPr="00624DD2" w:rsidRDefault="00330CBD" w:rsidP="00330CBD">
      <w:pPr>
        <w:widowControl/>
        <w:rPr>
          <w:rFonts w:cs="Arial"/>
          <w:b/>
          <w:lang w:eastAsia="en-GB"/>
        </w:rPr>
      </w:pPr>
      <w:r w:rsidRPr="00624DD2">
        <w:rPr>
          <w:rFonts w:cs="Arial"/>
          <w:b/>
          <w:lang w:eastAsia="en-GB"/>
        </w:rPr>
        <w:t>2.</w:t>
      </w:r>
      <w:r w:rsidRPr="00624DD2">
        <w:rPr>
          <w:rFonts w:cs="Arial"/>
          <w:b/>
          <w:lang w:eastAsia="en-GB"/>
        </w:rPr>
        <w:tab/>
        <w:t xml:space="preserve">Purpose </w:t>
      </w:r>
    </w:p>
    <w:p w14:paraId="2B149937" w14:textId="77777777" w:rsidR="00330CBD" w:rsidRPr="00624DD2" w:rsidRDefault="00330CBD" w:rsidP="00330CBD">
      <w:pPr>
        <w:widowControl/>
        <w:rPr>
          <w:rFonts w:cs="Arial"/>
          <w:lang w:eastAsia="en-GB"/>
        </w:rPr>
      </w:pPr>
    </w:p>
    <w:p w14:paraId="504693B8" w14:textId="01B0E680" w:rsidR="00330CBD" w:rsidRDefault="00330CBD" w:rsidP="00330CBD">
      <w:pPr>
        <w:widowControl/>
        <w:rPr>
          <w:rFonts w:cs="Arial"/>
          <w:szCs w:val="22"/>
        </w:rPr>
      </w:pPr>
      <w:r w:rsidRPr="00624DD2">
        <w:rPr>
          <w:lang w:eastAsia="en-GB"/>
        </w:rPr>
        <w:t xml:space="preserve">The Authority </w:t>
      </w:r>
      <w:r>
        <w:rPr>
          <w:lang w:eastAsia="en-GB"/>
        </w:rPr>
        <w:t>prepared</w:t>
      </w:r>
      <w:r w:rsidRPr="00624DD2">
        <w:rPr>
          <w:lang w:eastAsia="en-GB"/>
        </w:rPr>
        <w:t xml:space="preserve"> the </w:t>
      </w:r>
      <w:r w:rsidR="00E22C78">
        <w:rPr>
          <w:lang w:eastAsia="en-GB"/>
        </w:rPr>
        <w:t xml:space="preserve">draft </w:t>
      </w:r>
      <w:r w:rsidRPr="00624DD2">
        <w:rPr>
          <w:lang w:eastAsia="en-GB"/>
        </w:rPr>
        <w:t>variation</w:t>
      </w:r>
      <w:r w:rsidR="00E22C78">
        <w:rPr>
          <w:lang w:eastAsia="en-GB"/>
        </w:rPr>
        <w:t>, which</w:t>
      </w:r>
      <w:r w:rsidRPr="00624DD2">
        <w:rPr>
          <w:lang w:eastAsia="en-GB"/>
        </w:rPr>
        <w:t xml:space="preserve"> </w:t>
      </w:r>
      <w:r w:rsidR="00E22C78">
        <w:rPr>
          <w:lang w:eastAsia="en-GB"/>
        </w:rPr>
        <w:t>amends</w:t>
      </w:r>
      <w:r w:rsidR="00E22C78" w:rsidRPr="00624DD2">
        <w:rPr>
          <w:lang w:eastAsia="en-GB"/>
        </w:rPr>
        <w:t xml:space="preserve"> </w:t>
      </w:r>
      <w:r w:rsidRPr="00624DD2">
        <w:rPr>
          <w:rFonts w:cs="Arial"/>
          <w:szCs w:val="22"/>
        </w:rPr>
        <w:t xml:space="preserve">section S11—4 of </w:t>
      </w:r>
      <w:r w:rsidRPr="00624DD2">
        <w:rPr>
          <w:lang w:eastAsia="en-GB"/>
        </w:rPr>
        <w:t>the Code</w:t>
      </w:r>
      <w:r w:rsidR="00E22C78">
        <w:rPr>
          <w:lang w:eastAsia="en-GB"/>
        </w:rPr>
        <w:t>,</w:t>
      </w:r>
      <w:r w:rsidRPr="00624DD2">
        <w:rPr>
          <w:lang w:eastAsia="en-GB"/>
        </w:rPr>
        <w:t xml:space="preserve"> to</w:t>
      </w:r>
      <w:r w:rsidRPr="00624DD2">
        <w:rPr>
          <w:rFonts w:cs="Arial"/>
          <w:lang w:eastAsia="en-GB"/>
        </w:rPr>
        <w:t xml:space="preserve"> </w:t>
      </w:r>
      <w:r>
        <w:rPr>
          <w:rFonts w:cs="Arial"/>
          <w:lang w:eastAsia="en-GB"/>
        </w:rPr>
        <w:t>permit</w:t>
      </w:r>
      <w:r w:rsidRPr="00624DD2">
        <w:rPr>
          <w:rFonts w:cs="Arial"/>
          <w:lang w:eastAsia="en-GB"/>
        </w:rPr>
        <w:t xml:space="preserve"> </w:t>
      </w:r>
      <w:r>
        <w:rPr>
          <w:rFonts w:cs="Arial"/>
          <w:lang w:eastAsia="en-GB"/>
        </w:rPr>
        <w:t xml:space="preserve">the use of </w:t>
      </w:r>
      <w:r w:rsidRPr="00624DD2">
        <w:rPr>
          <w:rFonts w:cs="Arial"/>
          <w:szCs w:val="22"/>
        </w:rPr>
        <w:t xml:space="preserve">AOAC </w:t>
      </w:r>
      <w:r>
        <w:rPr>
          <w:rFonts w:cs="Arial"/>
          <w:szCs w:val="22"/>
        </w:rPr>
        <w:t>2017.16</w:t>
      </w:r>
      <w:r w:rsidRPr="00624DD2">
        <w:rPr>
          <w:rFonts w:cs="Arial"/>
          <w:lang w:eastAsia="en-GB"/>
        </w:rPr>
        <w:t xml:space="preserve"> </w:t>
      </w:r>
      <w:r>
        <w:rPr>
          <w:rFonts w:cs="Arial"/>
          <w:lang w:eastAsia="en-GB"/>
        </w:rPr>
        <w:t>when</w:t>
      </w:r>
      <w:r w:rsidRPr="00624DD2">
        <w:rPr>
          <w:rFonts w:cs="Arial"/>
          <w:lang w:eastAsia="en-GB"/>
        </w:rPr>
        <w:t xml:space="preserve"> </w:t>
      </w:r>
      <w:r>
        <w:rPr>
          <w:rFonts w:cs="Arial"/>
          <w:lang w:eastAsia="en-GB"/>
        </w:rPr>
        <w:t>determining</w:t>
      </w:r>
      <w:r w:rsidRPr="00624DD2">
        <w:rPr>
          <w:rFonts w:cs="Arial"/>
          <w:lang w:eastAsia="en-GB"/>
        </w:rPr>
        <w:t xml:space="preserve"> the </w:t>
      </w:r>
      <w:r w:rsidR="00131BC3">
        <w:rPr>
          <w:rFonts w:cs="Arial"/>
          <w:lang w:eastAsia="en-GB"/>
        </w:rPr>
        <w:t>total</w:t>
      </w:r>
      <w:r>
        <w:rPr>
          <w:rFonts w:cs="Arial"/>
          <w:lang w:eastAsia="en-GB"/>
        </w:rPr>
        <w:t xml:space="preserve"> </w:t>
      </w:r>
      <w:r w:rsidRPr="00624DD2">
        <w:rPr>
          <w:rFonts w:cs="Arial"/>
          <w:lang w:eastAsia="en-GB"/>
        </w:rPr>
        <w:t xml:space="preserve">amount of </w:t>
      </w:r>
      <w:r>
        <w:rPr>
          <w:rFonts w:cs="Arial"/>
          <w:lang w:eastAsia="en-GB"/>
        </w:rPr>
        <w:t>dietary fibre</w:t>
      </w:r>
      <w:r w:rsidRPr="00624DD2">
        <w:rPr>
          <w:rFonts w:cs="Arial"/>
          <w:lang w:eastAsia="en-GB"/>
        </w:rPr>
        <w:t xml:space="preserve"> in food</w:t>
      </w:r>
      <w:r>
        <w:rPr>
          <w:rFonts w:cs="Arial"/>
          <w:lang w:eastAsia="en-GB"/>
        </w:rPr>
        <w:t xml:space="preserve"> in accordance with section S11—4 of the Code</w:t>
      </w:r>
      <w:r w:rsidRPr="00624DD2">
        <w:rPr>
          <w:rFonts w:cs="Arial"/>
          <w:lang w:eastAsia="en-GB"/>
        </w:rPr>
        <w:t xml:space="preserve"> for the purposes of </w:t>
      </w:r>
      <w:r w:rsidRPr="00624DD2">
        <w:rPr>
          <w:rFonts w:cs="Arial"/>
          <w:szCs w:val="22"/>
        </w:rPr>
        <w:t xml:space="preserve">subsections 1.2.8—7(7) and S5—6(2) of the Code. </w:t>
      </w:r>
    </w:p>
    <w:p w14:paraId="3E9DD149" w14:textId="77777777" w:rsidR="00330CBD" w:rsidRDefault="00330CBD" w:rsidP="00330CBD">
      <w:pPr>
        <w:widowControl/>
        <w:rPr>
          <w:rFonts w:cs="Arial"/>
          <w:szCs w:val="22"/>
        </w:rPr>
      </w:pPr>
    </w:p>
    <w:p w14:paraId="4772B662" w14:textId="77777777" w:rsidR="00330CBD" w:rsidRPr="00624DD2" w:rsidRDefault="00330CBD" w:rsidP="00330CBD">
      <w:pPr>
        <w:widowControl/>
        <w:rPr>
          <w:rFonts w:cs="Arial"/>
          <w:b/>
          <w:lang w:eastAsia="en-GB"/>
        </w:rPr>
      </w:pPr>
      <w:r w:rsidRPr="00624DD2">
        <w:rPr>
          <w:rFonts w:cs="Arial"/>
          <w:b/>
          <w:lang w:eastAsia="en-GB"/>
        </w:rPr>
        <w:t>3.</w:t>
      </w:r>
      <w:r w:rsidRPr="00624DD2">
        <w:rPr>
          <w:rFonts w:cs="Arial"/>
          <w:b/>
          <w:lang w:eastAsia="en-GB"/>
        </w:rPr>
        <w:tab/>
        <w:t>Documents incorporated by reference</w:t>
      </w:r>
    </w:p>
    <w:p w14:paraId="16CBB7C7" w14:textId="77777777" w:rsidR="00330CBD" w:rsidRPr="00624DD2" w:rsidRDefault="00330CBD" w:rsidP="00330CBD">
      <w:pPr>
        <w:widowControl/>
        <w:rPr>
          <w:rFonts w:cs="Arial"/>
          <w:lang w:eastAsia="en-GB"/>
        </w:rPr>
      </w:pPr>
    </w:p>
    <w:p w14:paraId="20560F88" w14:textId="075CADB8" w:rsidR="00330CBD" w:rsidRDefault="00330CBD" w:rsidP="00330CBD">
      <w:pPr>
        <w:widowControl/>
        <w:autoSpaceDE w:val="0"/>
        <w:autoSpaceDN w:val="0"/>
        <w:adjustRightInd w:val="0"/>
        <w:rPr>
          <w:rFonts w:eastAsia="Calibri" w:cs="Arial"/>
          <w:bCs/>
          <w:szCs w:val="22"/>
        </w:rPr>
      </w:pPr>
      <w:r w:rsidRPr="00624DD2">
        <w:rPr>
          <w:rFonts w:eastAsia="Calibri" w:cs="Arial"/>
          <w:bCs/>
          <w:szCs w:val="22"/>
        </w:rPr>
        <w:t>The variations to food regulatory measures do not incorporate any documents by reference.</w:t>
      </w:r>
    </w:p>
    <w:p w14:paraId="09812ADD" w14:textId="6600DFFA" w:rsidR="00020206" w:rsidRDefault="00020206" w:rsidP="00330CBD">
      <w:pPr>
        <w:widowControl/>
        <w:autoSpaceDE w:val="0"/>
        <w:autoSpaceDN w:val="0"/>
        <w:adjustRightInd w:val="0"/>
        <w:rPr>
          <w:rFonts w:eastAsia="Calibri" w:cs="Arial"/>
          <w:bCs/>
          <w:szCs w:val="22"/>
        </w:rPr>
      </w:pPr>
    </w:p>
    <w:p w14:paraId="204E3B1A" w14:textId="77777777" w:rsidR="00020206" w:rsidRPr="002A13BC" w:rsidRDefault="00020206" w:rsidP="00020206">
      <w:pPr>
        <w:widowControl/>
        <w:autoSpaceDE w:val="0"/>
        <w:autoSpaceDN w:val="0"/>
        <w:adjustRightInd w:val="0"/>
        <w:rPr>
          <w:rFonts w:eastAsia="Calibri" w:cs="Arial"/>
          <w:color w:val="000000"/>
          <w:szCs w:val="22"/>
          <w:lang w:bidi="ar-SA"/>
        </w:rPr>
      </w:pPr>
      <w:r>
        <w:rPr>
          <w:rFonts w:eastAsia="Calibri" w:cs="Arial"/>
          <w:bCs/>
          <w:color w:val="000000"/>
          <w:szCs w:val="22"/>
          <w:lang w:bidi="ar-SA"/>
        </w:rPr>
        <w:t>However, the</w:t>
      </w:r>
      <w:r w:rsidRPr="002A13BC">
        <w:rPr>
          <w:rFonts w:eastAsia="Calibri" w:cs="Arial"/>
          <w:bCs/>
          <w:color w:val="000000"/>
          <w:szCs w:val="22"/>
          <w:lang w:bidi="ar-SA"/>
        </w:rPr>
        <w:t xml:space="preserve"> draft variation </w:t>
      </w:r>
      <w:r>
        <w:rPr>
          <w:rFonts w:eastAsia="Calibri" w:cs="Arial"/>
          <w:color w:val="000000"/>
          <w:szCs w:val="22"/>
          <w:lang w:bidi="ar-SA"/>
        </w:rPr>
        <w:t xml:space="preserve">will amend a provision of the Code that incorporates methods of analysis </w:t>
      </w:r>
      <w:r w:rsidRPr="002A13BC">
        <w:rPr>
          <w:rFonts w:eastAsia="Calibri" w:cs="Arial"/>
          <w:color w:val="000000"/>
          <w:szCs w:val="22"/>
          <w:lang w:bidi="ar-SA"/>
        </w:rPr>
        <w:t xml:space="preserve">by reference to </w:t>
      </w:r>
      <w:r>
        <w:rPr>
          <w:rFonts w:eastAsia="Calibri" w:cs="Arial"/>
          <w:color w:val="000000"/>
          <w:szCs w:val="22"/>
          <w:lang w:bidi="ar-SA"/>
        </w:rPr>
        <w:t>a specific document</w:t>
      </w:r>
      <w:r w:rsidRPr="002A13BC">
        <w:rPr>
          <w:rFonts w:eastAsia="Calibri" w:cs="Arial"/>
          <w:color w:val="000000"/>
          <w:szCs w:val="22"/>
          <w:lang w:bidi="ar-SA"/>
        </w:rPr>
        <w:t xml:space="preserve"> </w:t>
      </w:r>
      <w:r>
        <w:rPr>
          <w:rFonts w:eastAsia="Calibri" w:cs="Arial"/>
          <w:color w:val="000000"/>
          <w:szCs w:val="22"/>
          <w:lang w:bidi="ar-SA"/>
        </w:rPr>
        <w:t xml:space="preserve">that is or will be </w:t>
      </w:r>
      <w:r w:rsidRPr="002A13BC">
        <w:rPr>
          <w:rFonts w:eastAsia="Calibri" w:cs="Arial"/>
          <w:color w:val="000000"/>
          <w:szCs w:val="22"/>
          <w:lang w:bidi="ar-SA"/>
        </w:rPr>
        <w:t>in force or existing at the commencement of the variation</w:t>
      </w:r>
      <w:r>
        <w:rPr>
          <w:rFonts w:eastAsia="Calibri" w:cs="Arial"/>
          <w:color w:val="000000"/>
          <w:szCs w:val="22"/>
          <w:lang w:bidi="ar-SA"/>
        </w:rPr>
        <w:t xml:space="preserve">; namely, a specified edition of </w:t>
      </w:r>
      <w:r w:rsidRPr="00020206">
        <w:rPr>
          <w:rFonts w:eastAsia="Calibri" w:cs="Arial"/>
          <w:color w:val="000000"/>
          <w:szCs w:val="22"/>
          <w:lang w:bidi="ar-SA"/>
        </w:rPr>
        <w:t>the</w:t>
      </w:r>
      <w:r w:rsidRPr="005F2391">
        <w:rPr>
          <w:rFonts w:cs="Arial"/>
          <w:sz w:val="18"/>
          <w:szCs w:val="19"/>
        </w:rPr>
        <w:t xml:space="preserve"> </w:t>
      </w:r>
      <w:r w:rsidRPr="00020206">
        <w:rPr>
          <w:rFonts w:eastAsia="Calibri" w:cs="Arial"/>
          <w:i/>
          <w:color w:val="000000"/>
          <w:szCs w:val="22"/>
          <w:lang w:bidi="ar-SA"/>
        </w:rPr>
        <w:t>Official Methods of Analysis of AOAC International</w:t>
      </w:r>
      <w:r w:rsidRPr="00020206">
        <w:rPr>
          <w:rFonts w:eastAsia="Calibri" w:cs="Arial"/>
          <w:color w:val="000000"/>
          <w:szCs w:val="22"/>
          <w:lang w:bidi="ar-SA"/>
        </w:rPr>
        <w:t>, published by AOAC International</w:t>
      </w:r>
      <w:r w:rsidRPr="002A13BC">
        <w:rPr>
          <w:rFonts w:eastAsia="Calibri" w:cs="Arial"/>
          <w:color w:val="000000"/>
          <w:szCs w:val="22"/>
          <w:lang w:bidi="ar-SA"/>
        </w:rPr>
        <w:t>.</w:t>
      </w:r>
      <w:r>
        <w:rPr>
          <w:rFonts w:eastAsia="Calibri" w:cs="Arial"/>
          <w:color w:val="000000"/>
          <w:szCs w:val="22"/>
          <w:lang w:bidi="ar-SA"/>
        </w:rPr>
        <w:t xml:space="preserve"> The </w:t>
      </w:r>
      <w:r w:rsidRPr="002A13BC">
        <w:rPr>
          <w:rFonts w:eastAsia="Calibri" w:cs="Arial"/>
          <w:bCs/>
          <w:color w:val="000000"/>
          <w:szCs w:val="22"/>
          <w:lang w:bidi="ar-SA"/>
        </w:rPr>
        <w:t>draft variation</w:t>
      </w:r>
      <w:r>
        <w:rPr>
          <w:rFonts w:eastAsia="Calibri" w:cs="Arial"/>
          <w:bCs/>
          <w:color w:val="000000"/>
          <w:szCs w:val="22"/>
          <w:lang w:bidi="ar-SA"/>
        </w:rPr>
        <w:t xml:space="preserve"> will amend the provision to refer to a new edition of that publication.</w:t>
      </w:r>
    </w:p>
    <w:p w14:paraId="743E1E79" w14:textId="77777777" w:rsidR="00020206" w:rsidRPr="002A13BC" w:rsidRDefault="00020206" w:rsidP="00020206">
      <w:pPr>
        <w:widowControl/>
        <w:autoSpaceDE w:val="0"/>
        <w:autoSpaceDN w:val="0"/>
        <w:adjustRightInd w:val="0"/>
        <w:rPr>
          <w:rFonts w:eastAsia="Calibri" w:cs="Arial"/>
          <w:color w:val="000000"/>
          <w:szCs w:val="22"/>
          <w:lang w:bidi="ar-SA"/>
        </w:rPr>
      </w:pPr>
    </w:p>
    <w:p w14:paraId="4A9D7228" w14:textId="0E23F37C" w:rsidR="00020206" w:rsidRPr="00624DD2" w:rsidRDefault="00020206" w:rsidP="00020206">
      <w:pPr>
        <w:widowControl/>
        <w:autoSpaceDE w:val="0"/>
        <w:autoSpaceDN w:val="0"/>
        <w:adjustRightInd w:val="0"/>
        <w:rPr>
          <w:rFonts w:eastAsia="Calibri" w:cs="Arial"/>
          <w:bCs/>
          <w:szCs w:val="22"/>
        </w:rPr>
      </w:pPr>
      <w:r>
        <w:rPr>
          <w:rFonts w:eastAsia="Calibri" w:cs="Arial"/>
          <w:color w:val="000000"/>
          <w:szCs w:val="22"/>
          <w:lang w:bidi="ar-SA"/>
        </w:rPr>
        <w:t xml:space="preserve">This reference </w:t>
      </w:r>
      <w:r w:rsidRPr="002A13BC">
        <w:rPr>
          <w:rFonts w:eastAsia="Calibri" w:cs="Arial"/>
          <w:color w:val="000000"/>
          <w:szCs w:val="22"/>
          <w:lang w:bidi="ar-SA"/>
        </w:rPr>
        <w:t xml:space="preserve">by incorporation </w:t>
      </w:r>
      <w:r>
        <w:rPr>
          <w:rFonts w:eastAsia="Calibri" w:cs="Arial"/>
          <w:color w:val="000000"/>
          <w:szCs w:val="22"/>
          <w:lang w:bidi="ar-SA"/>
        </w:rPr>
        <w:t>is</w:t>
      </w:r>
      <w:r w:rsidRPr="002A13BC">
        <w:rPr>
          <w:rFonts w:eastAsia="Calibri" w:cs="Arial"/>
          <w:color w:val="000000"/>
          <w:szCs w:val="22"/>
          <w:lang w:bidi="ar-SA"/>
        </w:rPr>
        <w:t xml:space="preserve"> consistent with the current</w:t>
      </w:r>
      <w:r w:rsidRPr="002A13BC">
        <w:rPr>
          <w:rFonts w:eastAsia="Calibri" w:cs="Arial"/>
          <w:bCs/>
          <w:color w:val="000000"/>
          <w:szCs w:val="22"/>
          <w:lang w:bidi="ar-SA"/>
        </w:rPr>
        <w:t xml:space="preserve"> </w:t>
      </w:r>
      <w:r w:rsidRPr="002A13BC">
        <w:rPr>
          <w:rFonts w:eastAsia="Calibri" w:cs="Arial"/>
          <w:color w:val="000000"/>
          <w:szCs w:val="22"/>
          <w:lang w:bidi="ar-SA"/>
        </w:rPr>
        <w:t>practice in the Code, particularly</w:t>
      </w:r>
      <w:r>
        <w:rPr>
          <w:rFonts w:eastAsia="Calibri" w:cs="Arial"/>
          <w:color w:val="000000"/>
          <w:szCs w:val="22"/>
          <w:lang w:bidi="ar-SA"/>
        </w:rPr>
        <w:t xml:space="preserve"> </w:t>
      </w:r>
      <w:r w:rsidRPr="00624DD2">
        <w:rPr>
          <w:rFonts w:cs="Arial"/>
          <w:szCs w:val="22"/>
        </w:rPr>
        <w:t xml:space="preserve">section S11—4 </w:t>
      </w:r>
      <w:r>
        <w:rPr>
          <w:rFonts w:cs="Arial"/>
          <w:szCs w:val="22"/>
        </w:rPr>
        <w:t xml:space="preserve"> and</w:t>
      </w:r>
      <w:r w:rsidRPr="002A13BC">
        <w:rPr>
          <w:rFonts w:eastAsia="Calibri" w:cs="Arial"/>
          <w:color w:val="000000"/>
          <w:szCs w:val="22"/>
          <w:lang w:bidi="ar-SA"/>
        </w:rPr>
        <w:t xml:space="preserve"> </w:t>
      </w:r>
      <w:r>
        <w:rPr>
          <w:rFonts w:eastAsia="Calibri" w:cs="Arial"/>
          <w:bCs/>
          <w:color w:val="000000"/>
          <w:szCs w:val="22"/>
          <w:lang w:bidi="ar-SA"/>
        </w:rPr>
        <w:t>Schedule 3.</w:t>
      </w:r>
    </w:p>
    <w:p w14:paraId="209E9DC3" w14:textId="77777777" w:rsidR="00330CBD" w:rsidRPr="00624DD2" w:rsidRDefault="00330CBD" w:rsidP="00330CBD">
      <w:pPr>
        <w:widowControl/>
        <w:rPr>
          <w:rFonts w:cs="Arial"/>
          <w:lang w:eastAsia="en-GB"/>
        </w:rPr>
      </w:pPr>
    </w:p>
    <w:p w14:paraId="00171504" w14:textId="77777777" w:rsidR="00330CBD" w:rsidRPr="00624DD2" w:rsidRDefault="00330CBD" w:rsidP="00330CBD">
      <w:pPr>
        <w:widowControl/>
        <w:rPr>
          <w:rFonts w:cs="Arial"/>
          <w:b/>
          <w:lang w:eastAsia="en-GB"/>
        </w:rPr>
      </w:pPr>
      <w:r w:rsidRPr="00624DD2">
        <w:rPr>
          <w:rFonts w:cs="Arial"/>
          <w:b/>
          <w:lang w:eastAsia="en-GB"/>
        </w:rPr>
        <w:t>4.</w:t>
      </w:r>
      <w:r w:rsidRPr="00624DD2">
        <w:rPr>
          <w:rFonts w:cs="Arial"/>
          <w:b/>
          <w:lang w:eastAsia="en-GB"/>
        </w:rPr>
        <w:tab/>
        <w:t>Consultation</w:t>
      </w:r>
    </w:p>
    <w:p w14:paraId="108DDF65" w14:textId="77777777" w:rsidR="00330CBD" w:rsidRPr="00624DD2" w:rsidRDefault="00330CBD" w:rsidP="00330CBD">
      <w:pPr>
        <w:widowControl/>
        <w:rPr>
          <w:rFonts w:cs="Arial"/>
          <w:lang w:eastAsia="en-GB"/>
        </w:rPr>
      </w:pPr>
    </w:p>
    <w:p w14:paraId="2DBFEE3A" w14:textId="0EE800B4" w:rsidR="00330CBD" w:rsidRPr="00624DD2" w:rsidRDefault="00330CBD" w:rsidP="00330CBD">
      <w:pPr>
        <w:widowControl/>
      </w:pPr>
      <w:r w:rsidRPr="00624DD2">
        <w:rPr>
          <w:szCs w:val="22"/>
        </w:rPr>
        <w:t xml:space="preserve">In accordance with the procedure in Division 1 of Part 3 of the FSANZ Act, </w:t>
      </w:r>
      <w:r w:rsidRPr="00624DD2">
        <w:rPr>
          <w:rFonts w:eastAsia="Calibri" w:cs="Arial"/>
          <w:bCs/>
          <w:szCs w:val="22"/>
        </w:rPr>
        <w:t>the Authority</w:t>
      </w:r>
      <w:r w:rsidRPr="00624DD2">
        <w:rPr>
          <w:szCs w:val="22"/>
        </w:rPr>
        <w:t xml:space="preserve">’s consideration of Application </w:t>
      </w:r>
      <w:r>
        <w:rPr>
          <w:szCs w:val="22"/>
        </w:rPr>
        <w:t xml:space="preserve">A1178 </w:t>
      </w:r>
      <w:r w:rsidRPr="00624DD2">
        <w:rPr>
          <w:szCs w:val="22"/>
        </w:rPr>
        <w:t xml:space="preserve">will include one round of public consultation following an assessment and the preparation of a draft </w:t>
      </w:r>
      <w:r w:rsidR="00E22C78">
        <w:rPr>
          <w:szCs w:val="22"/>
        </w:rPr>
        <w:t>variation</w:t>
      </w:r>
      <w:r w:rsidR="00E22C78" w:rsidRPr="00624DD2">
        <w:rPr>
          <w:szCs w:val="22"/>
        </w:rPr>
        <w:t xml:space="preserve"> </w:t>
      </w:r>
      <w:r w:rsidRPr="00624DD2">
        <w:rPr>
          <w:szCs w:val="22"/>
        </w:rPr>
        <w:t xml:space="preserve">and associated assessment summary. </w:t>
      </w:r>
    </w:p>
    <w:p w14:paraId="5035EA53" w14:textId="77777777" w:rsidR="00330CBD" w:rsidRPr="00624DD2" w:rsidRDefault="00330CBD" w:rsidP="00330CBD">
      <w:pPr>
        <w:widowControl/>
        <w:autoSpaceDE w:val="0"/>
        <w:autoSpaceDN w:val="0"/>
        <w:adjustRightInd w:val="0"/>
      </w:pPr>
    </w:p>
    <w:p w14:paraId="3F6B4506" w14:textId="6CE8AE74" w:rsidR="00330CBD" w:rsidRPr="00222B4F" w:rsidRDefault="00330CBD" w:rsidP="00330CBD">
      <w:pPr>
        <w:widowControl/>
        <w:autoSpaceDE w:val="0"/>
        <w:autoSpaceDN w:val="0"/>
        <w:adjustRightInd w:val="0"/>
      </w:pPr>
      <w:r w:rsidRPr="00624DD2">
        <w:rPr>
          <w:rFonts w:eastAsia="Calibri" w:cs="Arial"/>
          <w:bCs/>
          <w:szCs w:val="22"/>
        </w:rPr>
        <w:t>A Regulation Impact Statement</w:t>
      </w:r>
      <w:r w:rsidR="00ED3326">
        <w:rPr>
          <w:rFonts w:eastAsia="Calibri" w:cs="Arial"/>
          <w:bCs/>
          <w:szCs w:val="22"/>
        </w:rPr>
        <w:t xml:space="preserve"> (RIS)</w:t>
      </w:r>
      <w:r w:rsidRPr="00624DD2">
        <w:rPr>
          <w:rFonts w:eastAsia="Calibri" w:cs="Arial"/>
          <w:bCs/>
          <w:szCs w:val="22"/>
        </w:rPr>
        <w:t xml:space="preserve"> was not required because</w:t>
      </w:r>
      <w:r w:rsidR="004E124D">
        <w:rPr>
          <w:rFonts w:eastAsia="Calibri" w:cs="Arial"/>
          <w:bCs/>
          <w:szCs w:val="22"/>
        </w:rPr>
        <w:t xml:space="preserve"> </w:t>
      </w:r>
      <w:r>
        <w:t>t</w:t>
      </w:r>
      <w:r w:rsidRPr="00140661">
        <w:t xml:space="preserve">he Office of Best Practice Regulation (OBPR) granted </w:t>
      </w:r>
      <w:r w:rsidR="008F39B8">
        <w:t>the Authority</w:t>
      </w:r>
      <w:r w:rsidR="008F39B8" w:rsidRPr="00140661">
        <w:t xml:space="preserve"> </w:t>
      </w:r>
      <w:r w:rsidRPr="00140661">
        <w:t xml:space="preserve">a standing exemption from the requirement to develop a </w:t>
      </w:r>
      <w:r w:rsidR="00ED3326">
        <w:t>RIS</w:t>
      </w:r>
      <w:r w:rsidRPr="00140661">
        <w:t xml:space="preserve"> for</w:t>
      </w:r>
      <w:r>
        <w:t xml:space="preserve"> applications requesting the use of optional methods of analysis </w:t>
      </w:r>
      <w:r w:rsidRPr="00317735">
        <w:t>(OBPR correspondence dated</w:t>
      </w:r>
      <w:r>
        <w:t xml:space="preserve"> 16 April 2013, reference number 14943). </w:t>
      </w:r>
      <w:r w:rsidRPr="00317735">
        <w:t xml:space="preserve">This </w:t>
      </w:r>
      <w:r w:rsidRPr="00317735">
        <w:lastRenderedPageBreak/>
        <w:t xml:space="preserve">standing exemption was provided as permitting the </w:t>
      </w:r>
      <w:r>
        <w:t xml:space="preserve">optional method of </w:t>
      </w:r>
      <w:r w:rsidRPr="00222B4F">
        <w:t xml:space="preserve">analysis is </w:t>
      </w:r>
      <w:r>
        <w:t xml:space="preserve">voluntary and </w:t>
      </w:r>
      <w:r w:rsidRPr="00222B4F">
        <w:t xml:space="preserve">likely to </w:t>
      </w:r>
      <w:r w:rsidR="00ED3326" w:rsidRPr="00222B4F">
        <w:t>not have more than</w:t>
      </w:r>
      <w:r w:rsidRPr="00222B4F">
        <w:t xml:space="preserve"> a minor economic impact on businesses or individuals. </w:t>
      </w:r>
    </w:p>
    <w:p w14:paraId="711B4578" w14:textId="624F0980" w:rsidR="00330CBD" w:rsidRPr="00624DD2" w:rsidRDefault="00330CBD" w:rsidP="00330CBD">
      <w:pPr>
        <w:widowControl/>
        <w:autoSpaceDE w:val="0"/>
        <w:autoSpaceDN w:val="0"/>
        <w:adjustRightInd w:val="0"/>
        <w:rPr>
          <w:rFonts w:cs="Arial"/>
          <w:szCs w:val="22"/>
        </w:rPr>
      </w:pPr>
    </w:p>
    <w:p w14:paraId="3E4504B4" w14:textId="77777777" w:rsidR="00330CBD" w:rsidRPr="00624DD2" w:rsidRDefault="00330CBD" w:rsidP="00330CBD">
      <w:pPr>
        <w:widowControl/>
        <w:rPr>
          <w:rFonts w:eastAsia="Calibri" w:cs="Arial"/>
          <w:b/>
          <w:bCs/>
          <w:szCs w:val="22"/>
        </w:rPr>
      </w:pPr>
      <w:r w:rsidRPr="00624DD2">
        <w:rPr>
          <w:rFonts w:eastAsia="Calibri" w:cs="Arial"/>
          <w:b/>
          <w:bCs/>
          <w:szCs w:val="22"/>
        </w:rPr>
        <w:t>5.</w:t>
      </w:r>
      <w:r w:rsidRPr="00624DD2">
        <w:rPr>
          <w:rFonts w:eastAsia="Calibri" w:cs="Arial"/>
          <w:b/>
          <w:bCs/>
          <w:szCs w:val="22"/>
        </w:rPr>
        <w:tab/>
        <w:t>Statement of compatibility with human rights</w:t>
      </w:r>
    </w:p>
    <w:p w14:paraId="78D24DD2" w14:textId="77777777" w:rsidR="00330CBD" w:rsidRPr="00624DD2" w:rsidRDefault="00330CBD" w:rsidP="00330CBD">
      <w:pPr>
        <w:widowControl/>
        <w:rPr>
          <w:rFonts w:eastAsia="Calibri"/>
        </w:rPr>
      </w:pPr>
    </w:p>
    <w:p w14:paraId="370068BA" w14:textId="77777777" w:rsidR="00330CBD" w:rsidRPr="00624DD2" w:rsidRDefault="00330CBD" w:rsidP="00330CBD">
      <w:pPr>
        <w:widowControl/>
        <w:rPr>
          <w:rFonts w:eastAsia="Calibri"/>
        </w:rPr>
      </w:pPr>
      <w:r w:rsidRPr="00624DD2">
        <w:rPr>
          <w:rFonts w:eastAsia="Calibri"/>
        </w:rPr>
        <w:t>This instrument is exempt from the requirements for a statement of compatibility with human rights as it is a non-disallowable instrument under section 94 of the FSANZ Act.</w:t>
      </w:r>
    </w:p>
    <w:p w14:paraId="25BE6FBA" w14:textId="77777777" w:rsidR="00330CBD" w:rsidRPr="00624DD2" w:rsidRDefault="00330CBD" w:rsidP="00330CBD">
      <w:pPr>
        <w:widowControl/>
        <w:rPr>
          <w:rFonts w:eastAsia="Calibri"/>
        </w:rPr>
      </w:pPr>
    </w:p>
    <w:p w14:paraId="15D10957" w14:textId="29C09AA4" w:rsidR="00330CBD" w:rsidRPr="00624DD2" w:rsidRDefault="00330CBD" w:rsidP="00330CBD">
      <w:pPr>
        <w:widowControl/>
        <w:rPr>
          <w:b/>
          <w:lang w:eastAsia="en-GB"/>
        </w:rPr>
      </w:pPr>
      <w:r w:rsidRPr="00624DD2">
        <w:rPr>
          <w:b/>
        </w:rPr>
        <w:t>6.</w:t>
      </w:r>
      <w:r w:rsidRPr="00624DD2">
        <w:rPr>
          <w:b/>
        </w:rPr>
        <w:tab/>
      </w:r>
      <w:r w:rsidRPr="00624DD2">
        <w:rPr>
          <w:b/>
          <w:lang w:eastAsia="en-GB"/>
        </w:rPr>
        <w:t>Variation</w:t>
      </w:r>
    </w:p>
    <w:p w14:paraId="0F600F1F" w14:textId="77777777" w:rsidR="00330CBD" w:rsidRPr="00624DD2" w:rsidRDefault="00330CBD" w:rsidP="00330CBD">
      <w:pPr>
        <w:widowControl/>
        <w:rPr>
          <w:b/>
        </w:rPr>
      </w:pPr>
    </w:p>
    <w:p w14:paraId="7330DACC" w14:textId="77777777" w:rsidR="00330CBD" w:rsidRDefault="00330CBD" w:rsidP="00330CBD">
      <w:pPr>
        <w:pStyle w:val="FSCDraftingitem"/>
        <w:rPr>
          <w:b/>
          <w:sz w:val="22"/>
          <w:lang w:bidi="en-US"/>
        </w:rPr>
      </w:pPr>
      <w:r>
        <w:rPr>
          <w:b/>
          <w:sz w:val="22"/>
          <w:lang w:bidi="en-US"/>
        </w:rPr>
        <w:t xml:space="preserve">Item [1] </w:t>
      </w:r>
      <w:r w:rsidRPr="00B52052">
        <w:rPr>
          <w:sz w:val="22"/>
          <w:lang w:bidi="en-US"/>
        </w:rPr>
        <w:t xml:space="preserve">of the draft variation </w:t>
      </w:r>
      <w:r>
        <w:rPr>
          <w:sz w:val="22"/>
          <w:lang w:bidi="en-US"/>
        </w:rPr>
        <w:t>amends</w:t>
      </w:r>
      <w:r w:rsidRPr="00B52052">
        <w:rPr>
          <w:sz w:val="22"/>
          <w:lang w:bidi="en-US"/>
        </w:rPr>
        <w:t xml:space="preserve"> section S11—4 of the Code.</w:t>
      </w:r>
      <w:r>
        <w:rPr>
          <w:b/>
          <w:sz w:val="22"/>
          <w:lang w:bidi="en-US"/>
        </w:rPr>
        <w:t xml:space="preserve"> </w:t>
      </w:r>
    </w:p>
    <w:p w14:paraId="3446A957" w14:textId="7BE36C92" w:rsidR="00330CBD" w:rsidRPr="00B52052" w:rsidRDefault="00330CBD" w:rsidP="00330CBD">
      <w:pPr>
        <w:pStyle w:val="FSCDraftingitem"/>
        <w:rPr>
          <w:sz w:val="22"/>
          <w:lang w:bidi="en-US"/>
        </w:rPr>
      </w:pPr>
      <w:r w:rsidRPr="0014495E">
        <w:rPr>
          <w:sz w:val="22"/>
          <w:lang w:bidi="en-US"/>
        </w:rPr>
        <w:t xml:space="preserve">Section S11—4 </w:t>
      </w:r>
      <w:r>
        <w:rPr>
          <w:sz w:val="22"/>
          <w:lang w:bidi="en-US"/>
        </w:rPr>
        <w:t>requires</w:t>
      </w:r>
      <w:r w:rsidRPr="0014495E">
        <w:rPr>
          <w:sz w:val="22"/>
          <w:lang w:bidi="en-US"/>
        </w:rPr>
        <w:t xml:space="preserve"> the </w:t>
      </w:r>
      <w:r>
        <w:rPr>
          <w:sz w:val="22"/>
          <w:lang w:bidi="en-US"/>
        </w:rPr>
        <w:t xml:space="preserve">total </w:t>
      </w:r>
      <w:r w:rsidRPr="0014495E">
        <w:rPr>
          <w:sz w:val="22"/>
          <w:lang w:bidi="en-US"/>
        </w:rPr>
        <w:t xml:space="preserve">dietary fibre </w:t>
      </w:r>
      <w:r>
        <w:rPr>
          <w:sz w:val="22"/>
          <w:lang w:bidi="en-US"/>
        </w:rPr>
        <w:t>(</w:t>
      </w:r>
      <w:r w:rsidRPr="0014495E">
        <w:rPr>
          <w:sz w:val="22"/>
          <w:lang w:bidi="en-US"/>
        </w:rPr>
        <w:t xml:space="preserve">including </w:t>
      </w:r>
      <w:r>
        <w:rPr>
          <w:sz w:val="22"/>
          <w:lang w:bidi="en-US"/>
        </w:rPr>
        <w:t xml:space="preserve">the amount of any </w:t>
      </w:r>
      <w:r w:rsidRPr="0014495E">
        <w:rPr>
          <w:sz w:val="22"/>
          <w:lang w:bidi="en-US"/>
        </w:rPr>
        <w:t>specifically named fibre</w:t>
      </w:r>
      <w:r>
        <w:rPr>
          <w:sz w:val="22"/>
          <w:lang w:bidi="en-US"/>
        </w:rPr>
        <w:t>) in</w:t>
      </w:r>
      <w:r w:rsidRPr="0014495E">
        <w:rPr>
          <w:sz w:val="22"/>
          <w:lang w:bidi="en-US"/>
        </w:rPr>
        <w:t xml:space="preserve"> a food</w:t>
      </w:r>
      <w:r>
        <w:rPr>
          <w:sz w:val="22"/>
          <w:lang w:bidi="en-US"/>
        </w:rPr>
        <w:t xml:space="preserve"> to be determined in accordance with one or more methods contained in specified sections of the </w:t>
      </w:r>
      <w:r w:rsidRPr="00CA79CF">
        <w:rPr>
          <w:i/>
          <w:sz w:val="22"/>
          <w:szCs w:val="22"/>
          <w:lang w:bidi="en-US"/>
        </w:rPr>
        <w:t>Official Methods of Analysis of AOAC International</w:t>
      </w:r>
      <w:r w:rsidRPr="00AF0A97">
        <w:rPr>
          <w:sz w:val="22"/>
          <w:szCs w:val="22"/>
          <w:lang w:bidi="en-US"/>
        </w:rPr>
        <w:t xml:space="preserve">, </w:t>
      </w:r>
      <w:r>
        <w:rPr>
          <w:sz w:val="22"/>
          <w:szCs w:val="22"/>
          <w:lang w:bidi="en-US"/>
        </w:rPr>
        <w:t>eighteenth</w:t>
      </w:r>
      <w:r w:rsidRPr="00AF0A97">
        <w:rPr>
          <w:sz w:val="22"/>
          <w:szCs w:val="22"/>
          <w:lang w:bidi="en-US"/>
        </w:rPr>
        <w:t xml:space="preserve"> edition, 20</w:t>
      </w:r>
      <w:r>
        <w:rPr>
          <w:sz w:val="22"/>
          <w:szCs w:val="22"/>
          <w:lang w:bidi="en-US"/>
        </w:rPr>
        <w:t xml:space="preserve">05 (the previous AOAC), </w:t>
      </w:r>
      <w:r>
        <w:rPr>
          <w:sz w:val="22"/>
          <w:lang w:bidi="en-US"/>
        </w:rPr>
        <w:t xml:space="preserve">for the purposes of </w:t>
      </w:r>
      <w:r w:rsidRPr="0014495E">
        <w:rPr>
          <w:sz w:val="22"/>
          <w:lang w:bidi="en-US"/>
        </w:rPr>
        <w:t>subsection</w:t>
      </w:r>
      <w:r>
        <w:rPr>
          <w:sz w:val="22"/>
          <w:lang w:bidi="en-US"/>
        </w:rPr>
        <w:t>s</w:t>
      </w:r>
      <w:r w:rsidRPr="0014495E">
        <w:rPr>
          <w:sz w:val="22"/>
          <w:lang w:bidi="en-US"/>
        </w:rPr>
        <w:t xml:space="preserve"> 1.2.8—7(7)</w:t>
      </w:r>
      <w:r>
        <w:rPr>
          <w:sz w:val="22"/>
          <w:lang w:bidi="en-US"/>
        </w:rPr>
        <w:t xml:space="preserve"> and </w:t>
      </w:r>
      <w:r w:rsidRPr="00624DD2">
        <w:rPr>
          <w:sz w:val="22"/>
          <w:lang w:bidi="en-US"/>
        </w:rPr>
        <w:t xml:space="preserve">S5—6(2) </w:t>
      </w:r>
      <w:r>
        <w:rPr>
          <w:sz w:val="22"/>
          <w:lang w:bidi="en-US"/>
        </w:rPr>
        <w:t>of the Code</w:t>
      </w:r>
      <w:r w:rsidRPr="0014495E">
        <w:rPr>
          <w:sz w:val="22"/>
          <w:lang w:bidi="en-US"/>
        </w:rPr>
        <w:t>.</w:t>
      </w:r>
    </w:p>
    <w:p w14:paraId="15DB315F" w14:textId="77777777" w:rsidR="00330CBD" w:rsidRPr="00C130A5" w:rsidRDefault="00330CBD" w:rsidP="00330CBD">
      <w:pPr>
        <w:pStyle w:val="FSCDraftingitem"/>
        <w:rPr>
          <w:sz w:val="22"/>
          <w:szCs w:val="22"/>
        </w:rPr>
      </w:pPr>
      <w:r>
        <w:rPr>
          <w:b/>
          <w:sz w:val="22"/>
          <w:lang w:bidi="en-US"/>
        </w:rPr>
        <w:t>Sub-i</w:t>
      </w:r>
      <w:r w:rsidRPr="00624DD2">
        <w:rPr>
          <w:b/>
          <w:sz w:val="22"/>
          <w:lang w:bidi="en-US"/>
        </w:rPr>
        <w:t>tem [1</w:t>
      </w:r>
      <w:r>
        <w:rPr>
          <w:b/>
          <w:sz w:val="22"/>
          <w:lang w:bidi="en-US"/>
        </w:rPr>
        <w:t>.1</w:t>
      </w:r>
      <w:r w:rsidRPr="00624DD2">
        <w:rPr>
          <w:b/>
          <w:sz w:val="22"/>
          <w:lang w:bidi="en-US"/>
        </w:rPr>
        <w:t>]</w:t>
      </w:r>
      <w:r w:rsidRPr="00624DD2">
        <w:rPr>
          <w:sz w:val="22"/>
          <w:lang w:bidi="en-US"/>
        </w:rPr>
        <w:t xml:space="preserve"> of the draft variation amends section S11—4 </w:t>
      </w:r>
      <w:r>
        <w:rPr>
          <w:sz w:val="22"/>
          <w:lang w:bidi="en-US"/>
        </w:rPr>
        <w:t xml:space="preserve">of the Code </w:t>
      </w:r>
      <w:r w:rsidRPr="00624DD2">
        <w:rPr>
          <w:sz w:val="22"/>
          <w:lang w:bidi="en-US"/>
        </w:rPr>
        <w:t xml:space="preserve">by </w:t>
      </w:r>
      <w:r w:rsidRPr="00AF0A97">
        <w:rPr>
          <w:sz w:val="22"/>
          <w:lang w:bidi="en-US"/>
        </w:rPr>
        <w:t>omitting paragraph S11—4(2)(a)</w:t>
      </w:r>
      <w:r>
        <w:rPr>
          <w:sz w:val="22"/>
          <w:lang w:bidi="en-US"/>
        </w:rPr>
        <w:t xml:space="preserve"> </w:t>
      </w:r>
      <w:r w:rsidRPr="00AF0A97">
        <w:rPr>
          <w:sz w:val="22"/>
          <w:szCs w:val="22"/>
          <w:lang w:bidi="en-US"/>
        </w:rPr>
        <w:t xml:space="preserve">and </w:t>
      </w:r>
      <w:r>
        <w:rPr>
          <w:sz w:val="22"/>
          <w:szCs w:val="22"/>
        </w:rPr>
        <w:t>substituting</w:t>
      </w:r>
      <w:r w:rsidRPr="00C130A5">
        <w:rPr>
          <w:sz w:val="22"/>
          <w:szCs w:val="22"/>
        </w:rPr>
        <w:t>:</w:t>
      </w:r>
    </w:p>
    <w:p w14:paraId="1501B6EC" w14:textId="77777777" w:rsidR="00330CBD" w:rsidRPr="00624DD2" w:rsidRDefault="00330CBD" w:rsidP="00330CBD">
      <w:pPr>
        <w:pStyle w:val="FSCtPara"/>
        <w:ind w:left="3119"/>
        <w:rPr>
          <w:sz w:val="22"/>
        </w:rPr>
      </w:pPr>
      <w:r>
        <w:rPr>
          <w:iCs w:val="0"/>
          <w:sz w:val="22"/>
        </w:rPr>
        <w:t>‘</w:t>
      </w:r>
      <w:r w:rsidRPr="00C130A5">
        <w:rPr>
          <w:iCs w:val="0"/>
          <w:sz w:val="22"/>
        </w:rPr>
        <w:t>(a</w:t>
      </w:r>
      <w:r>
        <w:rPr>
          <w:sz w:val="22"/>
        </w:rPr>
        <w:t>)</w:t>
      </w:r>
      <w:r>
        <w:rPr>
          <w:sz w:val="22"/>
        </w:rPr>
        <w:tab/>
      </w:r>
      <w:r w:rsidRPr="00C130A5">
        <w:rPr>
          <w:sz w:val="22"/>
        </w:rPr>
        <w:t>for dietary fibre—sections 985.29, or 991.43, or 2017.16;</w:t>
      </w:r>
      <w:r>
        <w:rPr>
          <w:sz w:val="22"/>
        </w:rPr>
        <w:t>’</w:t>
      </w:r>
    </w:p>
    <w:p w14:paraId="43B30985" w14:textId="28A5FBEF" w:rsidR="009D09B2" w:rsidRDefault="00330CBD" w:rsidP="00330CBD">
      <w:pPr>
        <w:pStyle w:val="FSCDraftingitem"/>
        <w:rPr>
          <w:sz w:val="22"/>
          <w:lang w:bidi="en-US"/>
        </w:rPr>
      </w:pPr>
      <w:r w:rsidRPr="00624DD2">
        <w:rPr>
          <w:sz w:val="22"/>
          <w:szCs w:val="22"/>
          <w:lang w:bidi="en-US"/>
        </w:rPr>
        <w:t xml:space="preserve">Section </w:t>
      </w:r>
      <w:r>
        <w:rPr>
          <w:sz w:val="22"/>
          <w:lang w:bidi="en-US"/>
        </w:rPr>
        <w:t>2017.16 is a section of</w:t>
      </w:r>
      <w:r w:rsidRPr="00624DD2">
        <w:rPr>
          <w:sz w:val="22"/>
          <w:lang w:bidi="en-US"/>
        </w:rPr>
        <w:t xml:space="preserve"> </w:t>
      </w:r>
      <w:r w:rsidR="00BD60C3">
        <w:rPr>
          <w:sz w:val="22"/>
          <w:lang w:bidi="en-US"/>
        </w:rPr>
        <w:t xml:space="preserve">the </w:t>
      </w:r>
      <w:r w:rsidR="00BD60C3" w:rsidRPr="000815A3">
        <w:rPr>
          <w:i/>
          <w:sz w:val="22"/>
          <w:szCs w:val="22"/>
          <w:lang w:bidi="en-US"/>
        </w:rPr>
        <w:t xml:space="preserve">Official Methods of Analysis of AOAC International, </w:t>
      </w:r>
      <w:r w:rsidR="00BD60C3" w:rsidRPr="001D6108">
        <w:rPr>
          <w:sz w:val="22"/>
          <w:szCs w:val="22"/>
          <w:lang w:bidi="en-US"/>
        </w:rPr>
        <w:t>twenty first edition</w:t>
      </w:r>
      <w:r w:rsidR="00BD60C3">
        <w:rPr>
          <w:sz w:val="22"/>
          <w:szCs w:val="22"/>
          <w:lang w:bidi="en-US"/>
        </w:rPr>
        <w:t>,</w:t>
      </w:r>
      <w:r w:rsidR="00BD60C3">
        <w:rPr>
          <w:i/>
          <w:sz w:val="22"/>
          <w:szCs w:val="22"/>
          <w:lang w:bidi="en-US"/>
        </w:rPr>
        <w:t xml:space="preserve"> </w:t>
      </w:r>
      <w:r w:rsidR="00BD60C3">
        <w:rPr>
          <w:sz w:val="22"/>
          <w:szCs w:val="22"/>
          <w:lang w:bidi="en-US"/>
        </w:rPr>
        <w:t xml:space="preserve">which </w:t>
      </w:r>
      <w:r w:rsidR="00BD60C3" w:rsidRPr="00624DD2">
        <w:rPr>
          <w:sz w:val="22"/>
          <w:lang w:bidi="en-US"/>
        </w:rPr>
        <w:t xml:space="preserve">describes </w:t>
      </w:r>
      <w:r w:rsidR="00BD60C3">
        <w:rPr>
          <w:sz w:val="22"/>
          <w:lang w:bidi="en-US"/>
        </w:rPr>
        <w:t>th</w:t>
      </w:r>
      <w:r w:rsidR="00135062">
        <w:rPr>
          <w:sz w:val="22"/>
          <w:lang w:bidi="en-US"/>
        </w:rPr>
        <w:t>is particular</w:t>
      </w:r>
      <w:r w:rsidR="00BD60C3">
        <w:rPr>
          <w:sz w:val="22"/>
          <w:lang w:bidi="en-US"/>
        </w:rPr>
        <w:t xml:space="preserve"> </w:t>
      </w:r>
      <w:r w:rsidR="00304951">
        <w:rPr>
          <w:sz w:val="22"/>
          <w:lang w:bidi="en-US"/>
        </w:rPr>
        <w:t xml:space="preserve">AOAC method of analysis for </w:t>
      </w:r>
      <w:r w:rsidR="00AF370C">
        <w:rPr>
          <w:sz w:val="22"/>
          <w:lang w:bidi="en-US"/>
        </w:rPr>
        <w:t xml:space="preserve">determining </w:t>
      </w:r>
      <w:r w:rsidR="00304951">
        <w:rPr>
          <w:sz w:val="22"/>
          <w:lang w:bidi="en-US"/>
        </w:rPr>
        <w:t>total dietary fibre in foods and food ingredients—</w:t>
      </w:r>
      <w:r w:rsidR="00BD60C3">
        <w:rPr>
          <w:sz w:val="22"/>
          <w:lang w:bidi="en-US"/>
        </w:rPr>
        <w:t>AOAC 2017.16.</w:t>
      </w:r>
    </w:p>
    <w:p w14:paraId="7DD3320E" w14:textId="04CFB0BE" w:rsidR="00330CBD" w:rsidRDefault="009D09B2" w:rsidP="00330CBD">
      <w:pPr>
        <w:pStyle w:val="FSCDraftingitem"/>
        <w:rPr>
          <w:b/>
          <w:sz w:val="22"/>
          <w:szCs w:val="22"/>
          <w:lang w:bidi="en-US"/>
        </w:rPr>
      </w:pPr>
      <w:r>
        <w:rPr>
          <w:sz w:val="22"/>
          <w:lang w:bidi="en-US"/>
        </w:rPr>
        <w:t xml:space="preserve">AOAC 2017.16 </w:t>
      </w:r>
      <w:r w:rsidR="00330CBD">
        <w:rPr>
          <w:sz w:val="22"/>
          <w:lang w:bidi="en-US"/>
        </w:rPr>
        <w:t xml:space="preserve">would be listed </w:t>
      </w:r>
      <w:r w:rsidR="00BD60C3">
        <w:rPr>
          <w:sz w:val="22"/>
          <w:lang w:bidi="en-US"/>
        </w:rPr>
        <w:t>in the Code</w:t>
      </w:r>
      <w:r w:rsidR="00135062">
        <w:rPr>
          <w:sz w:val="22"/>
          <w:lang w:bidi="en-US"/>
        </w:rPr>
        <w:t>,</w:t>
      </w:r>
      <w:r w:rsidR="00BD60C3">
        <w:rPr>
          <w:sz w:val="22"/>
          <w:lang w:bidi="en-US"/>
        </w:rPr>
        <w:t xml:space="preserve"> </w:t>
      </w:r>
      <w:r w:rsidR="00330CBD">
        <w:rPr>
          <w:sz w:val="22"/>
          <w:lang w:bidi="en-US"/>
        </w:rPr>
        <w:t xml:space="preserve">in addition </w:t>
      </w:r>
      <w:r w:rsidR="00135062">
        <w:rPr>
          <w:sz w:val="22"/>
          <w:lang w:bidi="en-US"/>
        </w:rPr>
        <w:t xml:space="preserve">and as an alternative </w:t>
      </w:r>
      <w:r w:rsidR="00330CBD">
        <w:rPr>
          <w:sz w:val="22"/>
          <w:lang w:bidi="en-US"/>
        </w:rPr>
        <w:t xml:space="preserve">to the other abovementioned methods </w:t>
      </w:r>
      <w:r w:rsidR="00BD60C3">
        <w:rPr>
          <w:sz w:val="22"/>
          <w:lang w:bidi="en-US"/>
        </w:rPr>
        <w:t>of analysis</w:t>
      </w:r>
      <w:r w:rsidR="00135062">
        <w:rPr>
          <w:sz w:val="22"/>
          <w:lang w:bidi="en-US"/>
        </w:rPr>
        <w:t>,</w:t>
      </w:r>
      <w:r w:rsidR="00BD60C3">
        <w:rPr>
          <w:sz w:val="22"/>
          <w:lang w:bidi="en-US"/>
        </w:rPr>
        <w:t xml:space="preserve"> </w:t>
      </w:r>
      <w:r w:rsidR="00330CBD">
        <w:rPr>
          <w:sz w:val="22"/>
          <w:szCs w:val="22"/>
          <w:lang w:bidi="en-US"/>
        </w:rPr>
        <w:t>which are</w:t>
      </w:r>
      <w:r w:rsidR="00330CBD">
        <w:rPr>
          <w:sz w:val="22"/>
          <w:lang w:bidi="en-US"/>
        </w:rPr>
        <w:t xml:space="preserve"> currently listed in </w:t>
      </w:r>
      <w:r w:rsidR="00330CBD" w:rsidRPr="00AF0A97">
        <w:rPr>
          <w:sz w:val="22"/>
          <w:lang w:bidi="en-US"/>
        </w:rPr>
        <w:t>paragraph S11—4(2)(a)</w:t>
      </w:r>
      <w:r w:rsidR="00330CBD">
        <w:rPr>
          <w:sz w:val="22"/>
          <w:lang w:bidi="en-US"/>
        </w:rPr>
        <w:t xml:space="preserve"> as permitted methods </w:t>
      </w:r>
      <w:r w:rsidR="00AF370C">
        <w:rPr>
          <w:sz w:val="22"/>
          <w:lang w:bidi="en-US"/>
        </w:rPr>
        <w:t xml:space="preserve">of analysis </w:t>
      </w:r>
      <w:r w:rsidR="00330CBD">
        <w:rPr>
          <w:sz w:val="22"/>
          <w:lang w:bidi="en-US"/>
        </w:rPr>
        <w:t>for determining total dietary fibre in food.</w:t>
      </w:r>
    </w:p>
    <w:p w14:paraId="2A343760" w14:textId="491F9A04" w:rsidR="00330CBD" w:rsidRPr="00AF0A97" w:rsidRDefault="00330CBD" w:rsidP="00330CBD">
      <w:pPr>
        <w:pStyle w:val="FSCDraftingitem"/>
        <w:rPr>
          <w:sz w:val="22"/>
          <w:szCs w:val="22"/>
          <w:lang w:bidi="en-US"/>
        </w:rPr>
      </w:pPr>
      <w:r>
        <w:rPr>
          <w:b/>
          <w:sz w:val="22"/>
          <w:szCs w:val="22"/>
          <w:lang w:bidi="en-US"/>
        </w:rPr>
        <w:t>Sub-i</w:t>
      </w:r>
      <w:r w:rsidRPr="00C130A5">
        <w:rPr>
          <w:b/>
          <w:sz w:val="22"/>
          <w:szCs w:val="22"/>
          <w:lang w:bidi="en-US"/>
        </w:rPr>
        <w:t>tem [</w:t>
      </w:r>
      <w:r>
        <w:rPr>
          <w:b/>
          <w:sz w:val="22"/>
          <w:szCs w:val="22"/>
          <w:lang w:bidi="en-US"/>
        </w:rPr>
        <w:t>1.</w:t>
      </w:r>
      <w:r w:rsidRPr="00C130A5">
        <w:rPr>
          <w:b/>
          <w:sz w:val="22"/>
          <w:szCs w:val="22"/>
          <w:lang w:bidi="en-US"/>
        </w:rPr>
        <w:t>2]</w:t>
      </w:r>
      <w:r>
        <w:rPr>
          <w:sz w:val="22"/>
          <w:szCs w:val="22"/>
          <w:lang w:bidi="en-US"/>
        </w:rPr>
        <w:t xml:space="preserve"> of the draft variation amends </w:t>
      </w:r>
      <w:r w:rsidRPr="00624DD2">
        <w:rPr>
          <w:sz w:val="22"/>
          <w:lang w:bidi="en-US"/>
        </w:rPr>
        <w:t xml:space="preserve">section S11—4 </w:t>
      </w:r>
      <w:r>
        <w:rPr>
          <w:sz w:val="22"/>
          <w:lang w:bidi="en-US"/>
        </w:rPr>
        <w:t xml:space="preserve">Code </w:t>
      </w:r>
      <w:r w:rsidRPr="00624DD2">
        <w:rPr>
          <w:sz w:val="22"/>
          <w:lang w:bidi="en-US"/>
        </w:rPr>
        <w:t xml:space="preserve">by </w:t>
      </w:r>
      <w:r w:rsidRPr="00AF0A97">
        <w:rPr>
          <w:sz w:val="22"/>
          <w:szCs w:val="22"/>
          <w:lang w:bidi="en-US"/>
        </w:rPr>
        <w:t xml:space="preserve">omitting subsection S11—4(4) </w:t>
      </w:r>
      <w:r>
        <w:rPr>
          <w:sz w:val="22"/>
          <w:szCs w:val="22"/>
          <w:lang w:bidi="en-US"/>
        </w:rPr>
        <w:t xml:space="preserve">and </w:t>
      </w:r>
      <w:r w:rsidRPr="00AF0A97">
        <w:rPr>
          <w:sz w:val="22"/>
          <w:szCs w:val="22"/>
          <w:lang w:bidi="en-US"/>
        </w:rPr>
        <w:t>substituting</w:t>
      </w:r>
      <w:r>
        <w:rPr>
          <w:sz w:val="22"/>
          <w:szCs w:val="22"/>
          <w:lang w:bidi="en-US"/>
        </w:rPr>
        <w:t xml:space="preserve"> it with a new subsection </w:t>
      </w:r>
      <w:r w:rsidRPr="00AF0A97">
        <w:rPr>
          <w:sz w:val="22"/>
          <w:szCs w:val="22"/>
          <w:lang w:bidi="en-US"/>
        </w:rPr>
        <w:t>S11—4(4)</w:t>
      </w:r>
      <w:r w:rsidR="00472964">
        <w:rPr>
          <w:sz w:val="22"/>
          <w:szCs w:val="22"/>
          <w:lang w:bidi="en-US"/>
        </w:rPr>
        <w:t>,</w:t>
      </w:r>
      <w:r>
        <w:rPr>
          <w:sz w:val="22"/>
          <w:szCs w:val="22"/>
          <w:lang w:bidi="en-US"/>
        </w:rPr>
        <w:t xml:space="preserve"> stating that in section S11—4:</w:t>
      </w:r>
    </w:p>
    <w:p w14:paraId="303D341E" w14:textId="77777777" w:rsidR="00330CBD" w:rsidRPr="00007DDF" w:rsidRDefault="00330CBD" w:rsidP="00330CBD">
      <w:pPr>
        <w:pStyle w:val="FSCDraftingitem"/>
        <w:ind w:left="851"/>
        <w:rPr>
          <w:sz w:val="22"/>
          <w:szCs w:val="22"/>
          <w:lang w:bidi="en-US"/>
        </w:rPr>
      </w:pPr>
      <w:r w:rsidRPr="00007DDF">
        <w:rPr>
          <w:sz w:val="22"/>
          <w:szCs w:val="22"/>
          <w:lang w:bidi="en-US"/>
        </w:rPr>
        <w:t>‘</w:t>
      </w:r>
      <w:r w:rsidRPr="00007DDF">
        <w:rPr>
          <w:b/>
          <w:i/>
          <w:sz w:val="22"/>
          <w:szCs w:val="22"/>
          <w:lang w:bidi="en-US"/>
        </w:rPr>
        <w:t>AOAC</w:t>
      </w:r>
      <w:r w:rsidRPr="00007DDF">
        <w:rPr>
          <w:sz w:val="22"/>
          <w:szCs w:val="22"/>
          <w:lang w:bidi="en-US"/>
        </w:rPr>
        <w:t xml:space="preserve"> means the </w:t>
      </w:r>
      <w:r w:rsidRPr="00007DDF">
        <w:rPr>
          <w:i/>
          <w:sz w:val="22"/>
          <w:szCs w:val="22"/>
          <w:lang w:bidi="en-US"/>
        </w:rPr>
        <w:t>Official Methods of Analysis of AOAC International</w:t>
      </w:r>
      <w:r w:rsidRPr="00007DDF">
        <w:rPr>
          <w:sz w:val="22"/>
          <w:szCs w:val="22"/>
          <w:lang w:bidi="en-US"/>
        </w:rPr>
        <w:t xml:space="preserve">, twenty first edition, 2019, published by AOAC International, Maryland USA.’ </w:t>
      </w:r>
    </w:p>
    <w:p w14:paraId="37053F5C" w14:textId="30AF47EF" w:rsidR="00330CBD" w:rsidRPr="00007DDF" w:rsidRDefault="00330CBD" w:rsidP="00330CBD">
      <w:pPr>
        <w:pStyle w:val="FSCDraftingitem"/>
        <w:rPr>
          <w:sz w:val="22"/>
          <w:szCs w:val="22"/>
          <w:lang w:bidi="en-US"/>
        </w:rPr>
      </w:pPr>
      <w:r w:rsidRPr="00007DDF">
        <w:rPr>
          <w:sz w:val="22"/>
          <w:szCs w:val="22"/>
          <w:lang w:bidi="en-US"/>
        </w:rPr>
        <w:t>Subsection S11—4(4) currently refers to the previous AOAC</w:t>
      </w:r>
      <w:r w:rsidR="00100BE0" w:rsidRPr="00007DDF">
        <w:rPr>
          <w:sz w:val="22"/>
          <w:szCs w:val="22"/>
          <w:lang w:bidi="en-US"/>
        </w:rPr>
        <w:t xml:space="preserve">, which does not list AOAC </w:t>
      </w:r>
      <w:r w:rsidR="00100BE0" w:rsidRPr="00007DDF">
        <w:rPr>
          <w:sz w:val="22"/>
          <w:lang w:bidi="en-US"/>
        </w:rPr>
        <w:t>2017.16</w:t>
      </w:r>
      <w:r w:rsidRPr="00007DDF">
        <w:rPr>
          <w:sz w:val="22"/>
          <w:szCs w:val="22"/>
          <w:lang w:bidi="en-US"/>
        </w:rPr>
        <w:t>.</w:t>
      </w:r>
    </w:p>
    <w:p w14:paraId="233781A9" w14:textId="7180334B" w:rsidR="00BD60C3" w:rsidRPr="00007DDF" w:rsidRDefault="00BD60C3" w:rsidP="00330CBD">
      <w:pPr>
        <w:pStyle w:val="FSCDraftingitem"/>
        <w:rPr>
          <w:sz w:val="22"/>
          <w:lang w:bidi="en-US"/>
        </w:rPr>
      </w:pPr>
      <w:r w:rsidRPr="00007DDF">
        <w:rPr>
          <w:sz w:val="22"/>
          <w:lang w:bidi="en-US"/>
        </w:rPr>
        <w:t xml:space="preserve">In the </w:t>
      </w:r>
      <w:r w:rsidRPr="00007DDF">
        <w:rPr>
          <w:i/>
          <w:sz w:val="22"/>
          <w:szCs w:val="22"/>
          <w:lang w:bidi="en-US"/>
        </w:rPr>
        <w:t xml:space="preserve">Official Methods of Analysis of AOAC International, </w:t>
      </w:r>
      <w:r w:rsidRPr="00007DDF">
        <w:rPr>
          <w:sz w:val="22"/>
          <w:szCs w:val="22"/>
          <w:lang w:bidi="en-US"/>
        </w:rPr>
        <w:t>twenty first edition, 2019</w:t>
      </w:r>
      <w:r w:rsidRPr="00007DDF">
        <w:rPr>
          <w:i/>
          <w:sz w:val="22"/>
          <w:szCs w:val="22"/>
          <w:lang w:bidi="en-US"/>
        </w:rPr>
        <w:t xml:space="preserve"> </w:t>
      </w:r>
      <w:r w:rsidRPr="00007DDF">
        <w:rPr>
          <w:sz w:val="22"/>
          <w:szCs w:val="22"/>
          <w:lang w:bidi="en-US"/>
        </w:rPr>
        <w:t>(the current print version of the AOAC),</w:t>
      </w:r>
      <w:r w:rsidRPr="00007DDF">
        <w:rPr>
          <w:sz w:val="22"/>
          <w:lang w:bidi="en-US"/>
        </w:rPr>
        <w:t xml:space="preserve"> AOAC 2017.16 is listed as </w:t>
      </w:r>
      <w:r w:rsidR="00E36929" w:rsidRPr="00007DDF">
        <w:rPr>
          <w:sz w:val="22"/>
          <w:lang w:bidi="en-US"/>
        </w:rPr>
        <w:t xml:space="preserve">only </w:t>
      </w:r>
      <w:r w:rsidRPr="00007DDF">
        <w:rPr>
          <w:sz w:val="22"/>
          <w:lang w:bidi="en-US"/>
        </w:rPr>
        <w:t xml:space="preserve">having a ‘First </w:t>
      </w:r>
      <w:r w:rsidR="00C41994" w:rsidRPr="00007DDF">
        <w:rPr>
          <w:sz w:val="22"/>
          <w:lang w:bidi="en-US"/>
        </w:rPr>
        <w:t>A</w:t>
      </w:r>
      <w:r w:rsidRPr="00007DDF">
        <w:rPr>
          <w:sz w:val="22"/>
          <w:lang w:bidi="en-US"/>
        </w:rPr>
        <w:t xml:space="preserve">ction’ status. However, AOAC 2017.16 was accorded a ‘Final </w:t>
      </w:r>
      <w:r w:rsidR="00C41994" w:rsidRPr="00007DDF">
        <w:rPr>
          <w:sz w:val="22"/>
          <w:lang w:bidi="en-US"/>
        </w:rPr>
        <w:t>A</w:t>
      </w:r>
      <w:r w:rsidRPr="00007DDF">
        <w:rPr>
          <w:sz w:val="22"/>
          <w:lang w:bidi="en-US"/>
        </w:rPr>
        <w:t>ction’ status in 202</w:t>
      </w:r>
      <w:r w:rsidR="000E59E9" w:rsidRPr="00007DDF">
        <w:rPr>
          <w:sz w:val="22"/>
          <w:lang w:bidi="en-US"/>
        </w:rPr>
        <w:t>0</w:t>
      </w:r>
      <w:r w:rsidRPr="00007DDF">
        <w:rPr>
          <w:sz w:val="22"/>
          <w:lang w:bidi="en-US"/>
        </w:rPr>
        <w:t xml:space="preserve">, which is reflected in the online version of the </w:t>
      </w:r>
      <w:r w:rsidRPr="00007DDF">
        <w:rPr>
          <w:i/>
          <w:sz w:val="22"/>
          <w:szCs w:val="22"/>
          <w:lang w:bidi="en-US"/>
        </w:rPr>
        <w:t xml:space="preserve">Official Methods of Analysis of AOAC International, </w:t>
      </w:r>
      <w:r w:rsidRPr="00007DDF">
        <w:rPr>
          <w:sz w:val="22"/>
          <w:szCs w:val="22"/>
          <w:lang w:bidi="en-US"/>
        </w:rPr>
        <w:t>twenty first edition.</w:t>
      </w:r>
      <w:r w:rsidRPr="00007DDF">
        <w:t xml:space="preserve"> </w:t>
      </w:r>
      <w:r w:rsidRPr="00007DDF">
        <w:rPr>
          <w:sz w:val="22"/>
          <w:szCs w:val="22"/>
          <w:lang w:bidi="en-US"/>
        </w:rPr>
        <w:t xml:space="preserve">FSANZ understands that future revision of the current print version of the AOAC will </w:t>
      </w:r>
      <w:r w:rsidR="00004A85" w:rsidRPr="00007DDF">
        <w:rPr>
          <w:sz w:val="22"/>
          <w:szCs w:val="22"/>
          <w:lang w:bidi="en-US"/>
        </w:rPr>
        <w:t xml:space="preserve">reflect the </w:t>
      </w:r>
      <w:r w:rsidRPr="00007DDF">
        <w:rPr>
          <w:sz w:val="22"/>
          <w:szCs w:val="22"/>
          <w:lang w:bidi="en-US"/>
        </w:rPr>
        <w:t>AOAC 2017.16</w:t>
      </w:r>
      <w:r w:rsidR="00004A85" w:rsidRPr="00007DDF">
        <w:rPr>
          <w:sz w:val="22"/>
          <w:szCs w:val="22"/>
          <w:lang w:bidi="en-US"/>
        </w:rPr>
        <w:t xml:space="preserve">’s </w:t>
      </w:r>
      <w:r w:rsidRPr="00007DDF">
        <w:rPr>
          <w:sz w:val="22"/>
          <w:szCs w:val="22"/>
          <w:lang w:bidi="en-US"/>
        </w:rPr>
        <w:t xml:space="preserve">‘Final </w:t>
      </w:r>
      <w:r w:rsidR="00C41994" w:rsidRPr="00007DDF">
        <w:rPr>
          <w:sz w:val="22"/>
          <w:szCs w:val="22"/>
          <w:lang w:bidi="en-US"/>
        </w:rPr>
        <w:t>A</w:t>
      </w:r>
      <w:r w:rsidRPr="00007DDF">
        <w:rPr>
          <w:sz w:val="22"/>
          <w:szCs w:val="22"/>
          <w:lang w:bidi="en-US"/>
        </w:rPr>
        <w:t>ction’</w:t>
      </w:r>
      <w:r w:rsidR="00004A85" w:rsidRPr="00007DDF">
        <w:rPr>
          <w:sz w:val="22"/>
          <w:szCs w:val="22"/>
          <w:lang w:bidi="en-US"/>
        </w:rPr>
        <w:t xml:space="preserve"> status</w:t>
      </w:r>
      <w:r w:rsidRPr="00007DDF">
        <w:rPr>
          <w:sz w:val="22"/>
          <w:szCs w:val="22"/>
          <w:lang w:bidi="en-US"/>
        </w:rPr>
        <w:t>.</w:t>
      </w:r>
    </w:p>
    <w:p w14:paraId="5F5C8BCE" w14:textId="54216818" w:rsidR="00330CBD" w:rsidRPr="00007DDF" w:rsidRDefault="00330CBD" w:rsidP="00330CBD">
      <w:pPr>
        <w:pStyle w:val="FSCDraftingitem"/>
        <w:spacing w:before="0" w:after="0"/>
        <w:rPr>
          <w:sz w:val="22"/>
          <w:lang w:bidi="en-US"/>
        </w:rPr>
      </w:pPr>
      <w:r w:rsidRPr="00007DDF">
        <w:rPr>
          <w:sz w:val="22"/>
          <w:lang w:bidi="en-US"/>
        </w:rPr>
        <w:t>The effects of both amendments would be to:</w:t>
      </w:r>
    </w:p>
    <w:p w14:paraId="7C6C4070" w14:textId="77777777" w:rsidR="00330CBD" w:rsidRPr="00007DDF" w:rsidRDefault="00330CBD" w:rsidP="00330CBD">
      <w:pPr>
        <w:pStyle w:val="FSCDraftingitem"/>
        <w:spacing w:before="0" w:after="0"/>
        <w:rPr>
          <w:sz w:val="22"/>
          <w:lang w:bidi="en-US"/>
        </w:rPr>
      </w:pPr>
    </w:p>
    <w:p w14:paraId="5FF10A63" w14:textId="00DB2CBA" w:rsidR="00330CBD" w:rsidRPr="00007DDF" w:rsidRDefault="00330CBD" w:rsidP="00330CBD">
      <w:pPr>
        <w:pStyle w:val="FSCDraftingitem"/>
        <w:numPr>
          <w:ilvl w:val="0"/>
          <w:numId w:val="60"/>
        </w:numPr>
        <w:spacing w:before="0" w:after="0"/>
        <w:rPr>
          <w:sz w:val="22"/>
          <w:lang w:bidi="en-US"/>
        </w:rPr>
      </w:pPr>
      <w:r w:rsidRPr="00007DDF">
        <w:rPr>
          <w:sz w:val="22"/>
          <w:lang w:bidi="en-US"/>
        </w:rPr>
        <w:t xml:space="preserve">for the purposes of subsections 1.2.8—7(7) and S5—6(2)—permit the use of the </w:t>
      </w:r>
      <w:r w:rsidR="00920C4B" w:rsidRPr="00007DDF">
        <w:rPr>
          <w:sz w:val="22"/>
          <w:lang w:bidi="en-US"/>
        </w:rPr>
        <w:t xml:space="preserve">AOAC </w:t>
      </w:r>
      <w:r w:rsidRPr="00007DDF">
        <w:rPr>
          <w:sz w:val="22"/>
          <w:lang w:bidi="en-US"/>
        </w:rPr>
        <w:t xml:space="preserve">2017.16 when determining the </w:t>
      </w:r>
      <w:r w:rsidR="00131BC3" w:rsidRPr="00007DDF">
        <w:rPr>
          <w:sz w:val="22"/>
          <w:lang w:bidi="en-US"/>
        </w:rPr>
        <w:t>total</w:t>
      </w:r>
      <w:r w:rsidRPr="00007DDF">
        <w:rPr>
          <w:sz w:val="22"/>
          <w:lang w:bidi="en-US"/>
        </w:rPr>
        <w:t xml:space="preserve"> amount of dietary fibre in food under section S11—4; and</w:t>
      </w:r>
    </w:p>
    <w:p w14:paraId="0C64E832" w14:textId="6753C3CD" w:rsidR="00703415" w:rsidRPr="00007DDF" w:rsidRDefault="00981CAC" w:rsidP="00E66803">
      <w:pPr>
        <w:pStyle w:val="FSCDraftingitem"/>
        <w:numPr>
          <w:ilvl w:val="0"/>
          <w:numId w:val="60"/>
        </w:numPr>
        <w:spacing w:before="0" w:after="0"/>
        <w:rPr>
          <w:sz w:val="22"/>
          <w:lang w:bidi="en-US"/>
        </w:rPr>
      </w:pPr>
      <w:r w:rsidRPr="00007DDF">
        <w:rPr>
          <w:sz w:val="22"/>
          <w:lang w:bidi="en-US"/>
        </w:rPr>
        <w:t xml:space="preserve">replace the current </w:t>
      </w:r>
      <w:r w:rsidR="00330CBD" w:rsidRPr="00007DDF">
        <w:rPr>
          <w:sz w:val="22"/>
          <w:lang w:bidi="en-US"/>
        </w:rPr>
        <w:t>reference</w:t>
      </w:r>
      <w:r w:rsidRPr="00007DDF">
        <w:rPr>
          <w:sz w:val="22"/>
          <w:lang w:bidi="en-US"/>
        </w:rPr>
        <w:t>s</w:t>
      </w:r>
      <w:r w:rsidR="00330CBD" w:rsidRPr="00007DDF">
        <w:rPr>
          <w:sz w:val="22"/>
          <w:lang w:bidi="en-US"/>
        </w:rPr>
        <w:t xml:space="preserve"> </w:t>
      </w:r>
      <w:r w:rsidR="00873099" w:rsidRPr="00007DDF">
        <w:rPr>
          <w:sz w:val="22"/>
          <w:lang w:bidi="en-US"/>
        </w:rPr>
        <w:t xml:space="preserve">in section S11—4 </w:t>
      </w:r>
      <w:r w:rsidR="00330CBD" w:rsidRPr="00007DDF">
        <w:rPr>
          <w:sz w:val="22"/>
          <w:lang w:bidi="en-US"/>
        </w:rPr>
        <w:t xml:space="preserve">to the </w:t>
      </w:r>
      <w:r w:rsidRPr="00007DDF">
        <w:rPr>
          <w:sz w:val="22"/>
          <w:szCs w:val="22"/>
          <w:lang w:bidi="en-US"/>
        </w:rPr>
        <w:t>eighteenth edition</w:t>
      </w:r>
      <w:r w:rsidRPr="00007DDF" w:rsidDel="00981CAC">
        <w:rPr>
          <w:sz w:val="22"/>
          <w:lang w:bidi="en-US"/>
        </w:rPr>
        <w:t xml:space="preserve"> </w:t>
      </w:r>
      <w:r w:rsidRPr="00007DDF">
        <w:rPr>
          <w:sz w:val="22"/>
          <w:lang w:bidi="en-US"/>
        </w:rPr>
        <w:t xml:space="preserve">of the </w:t>
      </w:r>
      <w:r w:rsidR="00330CBD" w:rsidRPr="00007DDF">
        <w:rPr>
          <w:sz w:val="22"/>
          <w:lang w:bidi="en-US"/>
        </w:rPr>
        <w:t xml:space="preserve">AOAC </w:t>
      </w:r>
      <w:r w:rsidRPr="00007DDF">
        <w:rPr>
          <w:sz w:val="22"/>
          <w:lang w:bidi="en-US"/>
        </w:rPr>
        <w:t xml:space="preserve">with references to </w:t>
      </w:r>
      <w:r w:rsidR="00330CBD" w:rsidRPr="00007DDF">
        <w:rPr>
          <w:sz w:val="22"/>
          <w:szCs w:val="22"/>
          <w:lang w:bidi="en-US"/>
        </w:rPr>
        <w:t xml:space="preserve">the </w:t>
      </w:r>
      <w:r w:rsidRPr="00007DDF">
        <w:rPr>
          <w:sz w:val="22"/>
          <w:szCs w:val="22"/>
          <w:lang w:bidi="en-US"/>
        </w:rPr>
        <w:t>twenty first edition</w:t>
      </w:r>
      <w:r w:rsidRPr="00007DDF" w:rsidDel="00981CAC">
        <w:rPr>
          <w:sz w:val="22"/>
          <w:szCs w:val="22"/>
          <w:lang w:bidi="en-US"/>
        </w:rPr>
        <w:t xml:space="preserve"> </w:t>
      </w:r>
      <w:r w:rsidRPr="00007DDF">
        <w:rPr>
          <w:sz w:val="22"/>
          <w:szCs w:val="22"/>
          <w:lang w:bidi="en-US"/>
        </w:rPr>
        <w:t xml:space="preserve"> of the </w:t>
      </w:r>
      <w:r w:rsidR="00330CBD" w:rsidRPr="00007DDF">
        <w:rPr>
          <w:sz w:val="22"/>
          <w:szCs w:val="22"/>
          <w:lang w:bidi="en-US"/>
        </w:rPr>
        <w:t xml:space="preserve">AOAC, so that references </w:t>
      </w:r>
      <w:r w:rsidR="00873099" w:rsidRPr="00007DDF">
        <w:rPr>
          <w:sz w:val="22"/>
          <w:lang w:bidi="en-US"/>
        </w:rPr>
        <w:t xml:space="preserve">in section S11—4 </w:t>
      </w:r>
      <w:r w:rsidR="00330CBD" w:rsidRPr="00007DDF">
        <w:rPr>
          <w:sz w:val="22"/>
          <w:szCs w:val="22"/>
          <w:lang w:bidi="en-US"/>
        </w:rPr>
        <w:t xml:space="preserve">to methods of analysis contained in specified sections of the AOAC would be references to methods of analysis contained in specified sections of </w:t>
      </w:r>
      <w:r w:rsidRPr="00007DDF">
        <w:rPr>
          <w:sz w:val="22"/>
          <w:szCs w:val="22"/>
          <w:lang w:bidi="en-US"/>
        </w:rPr>
        <w:t>the twenty first edition of the</w:t>
      </w:r>
      <w:r w:rsidR="00330CBD" w:rsidRPr="00007DDF">
        <w:rPr>
          <w:sz w:val="22"/>
          <w:szCs w:val="22"/>
          <w:lang w:bidi="en-US"/>
        </w:rPr>
        <w:t xml:space="preserve"> AOAC</w:t>
      </w:r>
      <w:r w:rsidR="00330CBD" w:rsidRPr="00007DDF">
        <w:rPr>
          <w:sz w:val="22"/>
          <w:lang w:bidi="en-US"/>
        </w:rPr>
        <w:t>.</w:t>
      </w:r>
    </w:p>
    <w:sectPr w:rsidR="00703415" w:rsidRPr="00007DDF" w:rsidSect="008478AF">
      <w:headerReference w:type="even" r:id="rId39"/>
      <w:headerReference w:type="default" r:id="rId40"/>
      <w:footerReference w:type="even" r:id="rId41"/>
      <w:footerReference w:type="default" r:id="rId42"/>
      <w:headerReference w:type="first" r:id="rId43"/>
      <w:footerReference w:type="first" r:id="rId44"/>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B795B" w14:textId="77777777" w:rsidR="00452210" w:rsidRDefault="00452210">
      <w:r>
        <w:separator/>
      </w:r>
    </w:p>
  </w:endnote>
  <w:endnote w:type="continuationSeparator" w:id="0">
    <w:p w14:paraId="0065FBFE" w14:textId="77777777" w:rsidR="00452210" w:rsidRDefault="00452210">
      <w:r>
        <w:continuationSeparator/>
      </w:r>
    </w:p>
  </w:endnote>
  <w:endnote w:type="continuationNotice" w:id="1">
    <w:p w14:paraId="66F8A9E2" w14:textId="77777777" w:rsidR="00452210" w:rsidRDefault="00452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NewRomanPSMT">
    <w:altName w:val="MS Goth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C4ACB" w14:textId="36C665F5" w:rsidR="00452210" w:rsidRDefault="00452210" w:rsidP="001C071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439DF05D" w14:textId="77777777" w:rsidR="00452210" w:rsidRDefault="00452210" w:rsidP="00931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3F336" w14:textId="7D128F70" w:rsidR="00452210" w:rsidRDefault="0045221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19F9">
      <w:rPr>
        <w:rStyle w:val="PageNumber"/>
        <w:noProof/>
      </w:rPr>
      <w:t>i</w:t>
    </w:r>
    <w:r>
      <w:rPr>
        <w:rStyle w:val="PageNumber"/>
      </w:rPr>
      <w:fldChar w:fldCharType="end"/>
    </w:r>
  </w:p>
  <w:p w14:paraId="2B6624D4" w14:textId="77777777" w:rsidR="00452210" w:rsidRDefault="00452210" w:rsidP="009319F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355DA73F" w:rsidR="00452210" w:rsidRDefault="00452210" w:rsidP="001C071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452210" w:rsidRDefault="00452210" w:rsidP="009319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58021"/>
      <w:docPartObj>
        <w:docPartGallery w:val="Page Numbers (Bottom of Page)"/>
        <w:docPartUnique/>
      </w:docPartObj>
    </w:sdtPr>
    <w:sdtEndPr>
      <w:rPr>
        <w:noProof/>
      </w:rPr>
    </w:sdtEndPr>
    <w:sdtContent>
      <w:p w14:paraId="4BE113C6" w14:textId="37D527DE" w:rsidR="00452210" w:rsidRDefault="00452210" w:rsidP="0095314B">
        <w:pPr>
          <w:pStyle w:val="Footer"/>
          <w:jc w:val="center"/>
        </w:pPr>
        <w:r>
          <w:fldChar w:fldCharType="begin"/>
        </w:r>
        <w:r>
          <w:instrText xml:space="preserve"> PAGE   \* MERGEFORMAT </w:instrText>
        </w:r>
        <w:r>
          <w:fldChar w:fldCharType="separate"/>
        </w:r>
        <w:r w:rsidR="009319F9">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ACDC" w14:textId="09A2BCC8" w:rsidR="00452210" w:rsidRPr="009319F9" w:rsidRDefault="00452210" w:rsidP="00931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886FD" w14:textId="77777777" w:rsidR="00452210" w:rsidRDefault="00452210">
      <w:r>
        <w:separator/>
      </w:r>
    </w:p>
  </w:footnote>
  <w:footnote w:type="continuationSeparator" w:id="0">
    <w:p w14:paraId="5AF020B0" w14:textId="77777777" w:rsidR="00452210" w:rsidRDefault="00452210">
      <w:r>
        <w:continuationSeparator/>
      </w:r>
    </w:p>
  </w:footnote>
  <w:footnote w:type="continuationNotice" w:id="1">
    <w:p w14:paraId="594E75DC" w14:textId="77777777" w:rsidR="00452210" w:rsidRDefault="00452210"/>
  </w:footnote>
  <w:footnote w:id="2">
    <w:p w14:paraId="454EA979" w14:textId="119C4F0D" w:rsidR="00452210" w:rsidRDefault="00452210">
      <w:pPr>
        <w:pStyle w:val="FootnoteText"/>
      </w:pPr>
      <w:r>
        <w:rPr>
          <w:rStyle w:val="FootnoteReference"/>
        </w:rPr>
        <w:footnoteRef/>
      </w:r>
      <w:r>
        <w:t xml:space="preserve"> </w:t>
      </w:r>
      <w:r w:rsidRPr="00694B0A">
        <w:rPr>
          <w:sz w:val="18"/>
        </w:rPr>
        <w:t>All references in this report to ‘dietary fibre’, which are made in relation to requirements in the Code, are references to ‘dietary fibre’ as defined by the Code</w:t>
      </w:r>
      <w:r>
        <w:rPr>
          <w:sz w:val="18"/>
        </w:rPr>
        <w:t xml:space="preserve"> (unless specified otherwise)</w:t>
      </w:r>
      <w:r w:rsidRPr="00694B0A">
        <w:rPr>
          <w:sz w:val="18"/>
        </w:rPr>
        <w:t>.</w:t>
      </w:r>
      <w:r>
        <w:rPr>
          <w:sz w:val="18"/>
        </w:rPr>
        <w:t xml:space="preserve"> </w:t>
      </w:r>
      <w:r w:rsidRPr="00694B0A">
        <w:rPr>
          <w:sz w:val="18"/>
        </w:rPr>
        <w:t>‘</w:t>
      </w:r>
      <w:r>
        <w:rPr>
          <w:sz w:val="18"/>
        </w:rPr>
        <w:t>T</w:t>
      </w:r>
      <w:r w:rsidRPr="00694B0A">
        <w:rPr>
          <w:sz w:val="18"/>
        </w:rPr>
        <w:t xml:space="preserve">otal dietary fibre’ refers to the value measured by </w:t>
      </w:r>
      <w:r>
        <w:rPr>
          <w:sz w:val="18"/>
        </w:rPr>
        <w:t>one or more</w:t>
      </w:r>
      <w:r w:rsidRPr="00694B0A">
        <w:rPr>
          <w:sz w:val="18"/>
        </w:rPr>
        <w:t xml:space="preserve"> specified method of analysis, values may be higher or lower depending on method used.</w:t>
      </w:r>
    </w:p>
  </w:footnote>
  <w:footnote w:id="3">
    <w:p w14:paraId="17E491EF" w14:textId="0C17F846" w:rsidR="00452210" w:rsidRDefault="00452210" w:rsidP="001D3DEA">
      <w:pPr>
        <w:pStyle w:val="FootnoteText"/>
      </w:pPr>
      <w:r>
        <w:rPr>
          <w:rStyle w:val="FootnoteReference"/>
        </w:rPr>
        <w:footnoteRef/>
      </w:r>
      <w:r>
        <w:t xml:space="preserve"> </w:t>
      </w:r>
      <w:r w:rsidRPr="002C0E5D">
        <w:rPr>
          <w:sz w:val="16"/>
        </w:rPr>
        <w:t>All references in this report to ‘dietary fibre’, which are made in relation to requirements in the Code, are references to ‘dietary fibre’ as defined by the Code (unless specified otherwise). ‘Total dietary fibre’ refers to the value measured by one or more specified method of analysis, values may be higher or lower depending on method used.</w:t>
      </w:r>
    </w:p>
  </w:footnote>
  <w:footnote w:id="4">
    <w:p w14:paraId="34E6692D" w14:textId="064A3A30" w:rsidR="00452210" w:rsidRPr="009F1342" w:rsidRDefault="00452210" w:rsidP="00876264">
      <w:pPr>
        <w:pStyle w:val="FootnoteText"/>
      </w:pPr>
      <w:r w:rsidRPr="0041588A">
        <w:rPr>
          <w:rStyle w:val="FootnoteReference"/>
          <w:sz w:val="18"/>
        </w:rPr>
        <w:footnoteRef/>
      </w:r>
      <w:r w:rsidRPr="0041588A">
        <w:rPr>
          <w:sz w:val="18"/>
        </w:rPr>
        <w:t xml:space="preserve"> </w:t>
      </w:r>
      <w:r w:rsidRPr="0041588A">
        <w:rPr>
          <w:sz w:val="16"/>
        </w:rPr>
        <w:t xml:space="preserve">The Code refers to ‘dietary fibre’ as </w:t>
      </w:r>
      <w:r>
        <w:rPr>
          <w:sz w:val="16"/>
        </w:rPr>
        <w:t>total</w:t>
      </w:r>
      <w:r w:rsidRPr="0041588A">
        <w:rPr>
          <w:sz w:val="16"/>
        </w:rPr>
        <w:t xml:space="preserve"> dietary fibre and ‘specifically named dietary fibre’ for individual fibre components.</w:t>
      </w:r>
    </w:p>
  </w:footnote>
  <w:footnote w:id="5">
    <w:p w14:paraId="4985FE7D" w14:textId="19350BC7" w:rsidR="00452210" w:rsidRPr="001D3DEA" w:rsidRDefault="00452210" w:rsidP="00542857">
      <w:pPr>
        <w:pStyle w:val="FSBullet1"/>
        <w:numPr>
          <w:ilvl w:val="0"/>
          <w:numId w:val="0"/>
        </w:numPr>
        <w:rPr>
          <w:sz w:val="18"/>
          <w:szCs w:val="18"/>
        </w:rPr>
      </w:pPr>
      <w:r w:rsidRPr="001D3DEA">
        <w:rPr>
          <w:rStyle w:val="FootnoteReference"/>
          <w:sz w:val="18"/>
          <w:szCs w:val="18"/>
        </w:rPr>
        <w:footnoteRef/>
      </w:r>
      <w:r w:rsidRPr="001D3DEA">
        <w:rPr>
          <w:sz w:val="18"/>
          <w:szCs w:val="18"/>
        </w:rPr>
        <w:t xml:space="preserve"> The permitted methods in section S11—4 are all established as official methods of analysis by </w:t>
      </w:r>
      <w:hyperlink r:id="rId1" w:history="1">
        <w:r w:rsidRPr="001D3DEA">
          <w:rPr>
            <w:rStyle w:val="Hyperlink"/>
            <w:sz w:val="18"/>
            <w:szCs w:val="18"/>
            <w:lang w:val="en"/>
          </w:rPr>
          <w:t>The Association of Official Analytical Collaboration (AOAC) International</w:t>
        </w:r>
      </w:hyperlink>
      <w:r w:rsidRPr="001D3DEA">
        <w:rPr>
          <w:sz w:val="18"/>
          <w:szCs w:val="18"/>
        </w:rPr>
        <w:t xml:space="preserve">, which is a globally recognised, independent association that develops consensus standards in the area of analytical chemistry. </w:t>
      </w:r>
    </w:p>
  </w:footnote>
  <w:footnote w:id="6">
    <w:p w14:paraId="5440B1BE" w14:textId="77777777" w:rsidR="00452210" w:rsidRPr="00BC39CD" w:rsidRDefault="00452210" w:rsidP="00CF1B73">
      <w:pPr>
        <w:pStyle w:val="FootnoteText"/>
        <w:rPr>
          <w:sz w:val="18"/>
        </w:rPr>
      </w:pPr>
      <w:r w:rsidRPr="00BC39CD">
        <w:rPr>
          <w:rStyle w:val="FootnoteReference"/>
          <w:sz w:val="18"/>
        </w:rPr>
        <w:footnoteRef/>
      </w:r>
      <w:r w:rsidRPr="00BC39CD">
        <w:rPr>
          <w:sz w:val="18"/>
        </w:rPr>
        <w:t xml:space="preserve"> H. Salman, Business Manager – Analytical Services, Australian Export Grains Innovation Centre (AEGIC), </w:t>
      </w:r>
      <w:r w:rsidRPr="00BC39CD">
        <w:rPr>
          <w:rFonts w:cs="Arial"/>
          <w:sz w:val="18"/>
          <w:lang w:eastAsia="en-AU"/>
        </w:rPr>
        <w:t>personal communication, 22 May 2020</w:t>
      </w:r>
    </w:p>
  </w:footnote>
  <w:footnote w:id="7">
    <w:p w14:paraId="261FF6EC" w14:textId="77777777" w:rsidR="00452210" w:rsidRPr="00B8108C" w:rsidRDefault="00452210" w:rsidP="00F21251">
      <w:pPr>
        <w:pStyle w:val="FootnoteText"/>
      </w:pPr>
      <w:r w:rsidRPr="00BC39CD">
        <w:rPr>
          <w:rStyle w:val="FootnoteReference"/>
          <w:sz w:val="18"/>
        </w:rPr>
        <w:footnoteRef/>
      </w:r>
      <w:r w:rsidRPr="00BC39CD">
        <w:rPr>
          <w:sz w:val="18"/>
        </w:rPr>
        <w:t xml:space="preserve"> H. Salman, Business Manager – Analytical Services, Australian Export Grains Innovation Centre (AEGIC), </w:t>
      </w:r>
      <w:r w:rsidRPr="00BC39CD">
        <w:rPr>
          <w:rFonts w:cs="Arial"/>
          <w:sz w:val="18"/>
          <w:lang w:eastAsia="en-AU"/>
        </w:rPr>
        <w:t>personal communication, 16 March 2021</w:t>
      </w:r>
    </w:p>
  </w:footnote>
  <w:footnote w:id="8">
    <w:p w14:paraId="79A264D9" w14:textId="52D099DF" w:rsidR="00452210" w:rsidRPr="00003DA4" w:rsidRDefault="00452210" w:rsidP="00F34DDD">
      <w:pPr>
        <w:pStyle w:val="FootnoteText"/>
        <w:rPr>
          <w:sz w:val="14"/>
        </w:rPr>
      </w:pPr>
      <w:r w:rsidRPr="001964D1">
        <w:rPr>
          <w:rStyle w:val="FootnoteReference"/>
          <w:sz w:val="14"/>
        </w:rPr>
        <w:footnoteRef/>
      </w:r>
      <w:r w:rsidRPr="001964D1">
        <w:rPr>
          <w:sz w:val="14"/>
        </w:rPr>
        <w:t xml:space="preserve"> </w:t>
      </w:r>
      <w:r w:rsidRPr="001964D1">
        <w:rPr>
          <w:rFonts w:cs="Arial"/>
          <w:sz w:val="18"/>
          <w:szCs w:val="21"/>
        </w:rPr>
        <w:t>The degree of polymeri</w:t>
      </w:r>
      <w:r>
        <w:rPr>
          <w:rFonts w:cs="Arial"/>
          <w:sz w:val="18"/>
          <w:szCs w:val="21"/>
        </w:rPr>
        <w:t>s</w:t>
      </w:r>
      <w:r w:rsidRPr="001964D1">
        <w:rPr>
          <w:rFonts w:cs="Arial"/>
          <w:sz w:val="18"/>
          <w:szCs w:val="21"/>
        </w:rPr>
        <w:t>ation, or DP, is the number of single monosaccharide units in the carbohydrate molecule</w:t>
      </w:r>
    </w:p>
  </w:footnote>
  <w:footnote w:id="9">
    <w:p w14:paraId="6603D429" w14:textId="77777777" w:rsidR="00452210" w:rsidRPr="00003DA4" w:rsidRDefault="00452210" w:rsidP="00F34DDD">
      <w:pPr>
        <w:pStyle w:val="FootnoteText"/>
      </w:pPr>
      <w:r w:rsidRPr="001964D1">
        <w:rPr>
          <w:rStyle w:val="FootnoteReference"/>
          <w:sz w:val="18"/>
        </w:rPr>
        <w:footnoteRef/>
      </w:r>
      <w:r w:rsidRPr="001964D1">
        <w:rPr>
          <w:sz w:val="18"/>
        </w:rPr>
        <w:t xml:space="preserve"> See </w:t>
      </w:r>
      <w:hyperlink r:id="rId2" w:history="1">
        <w:r w:rsidRPr="001964D1">
          <w:rPr>
            <w:rStyle w:val="Hyperlink"/>
            <w:sz w:val="18"/>
          </w:rPr>
          <w:t>A1123 – Isomalto-oligosaccharide as a Novel Food</w:t>
        </w:r>
      </w:hyperlink>
      <w:r w:rsidRPr="001964D1">
        <w:rPr>
          <w:sz w:val="18"/>
        </w:rPr>
        <w:t xml:space="preserve"> on the FSANZ website</w:t>
      </w:r>
    </w:p>
  </w:footnote>
  <w:footnote w:id="10">
    <w:p w14:paraId="7600C3A8" w14:textId="0B024BB5" w:rsidR="00452210" w:rsidRDefault="00452210">
      <w:pPr>
        <w:pStyle w:val="FootnoteText"/>
      </w:pPr>
      <w:r w:rsidRPr="00D3000D">
        <w:rPr>
          <w:rStyle w:val="FootnoteReference"/>
          <w:sz w:val="18"/>
        </w:rPr>
        <w:footnoteRef/>
      </w:r>
      <w:r w:rsidRPr="00D3000D">
        <w:rPr>
          <w:sz w:val="18"/>
        </w:rPr>
        <w:t xml:space="preserve"> AOAC 2017.16 cannot separately identify values for individual LMWDF, meaning the method cannot be used to determine GOS values alone. There is an AOAC method for determining GOS (AOAC 2002.02), however this is not permitted in the Code and it is for the analysis of trans-GOS only so would not detect naturally occurring GOS.</w:t>
      </w:r>
    </w:p>
  </w:footnote>
  <w:footnote w:id="11">
    <w:p w14:paraId="38FD3600" w14:textId="77777777" w:rsidR="00452210" w:rsidRPr="005F2391" w:rsidRDefault="00452210" w:rsidP="00330CBD">
      <w:pPr>
        <w:pStyle w:val="FootnoteText"/>
        <w:rPr>
          <w:sz w:val="18"/>
          <w:lang w:val="en-US"/>
        </w:rPr>
      </w:pPr>
      <w:r>
        <w:rPr>
          <w:rStyle w:val="FootnoteReference"/>
        </w:rPr>
        <w:footnoteRef/>
      </w:r>
      <w:r>
        <w:t xml:space="preserve"> </w:t>
      </w:r>
      <w:r w:rsidRPr="005F2391">
        <w:rPr>
          <w:rFonts w:cs="Arial"/>
          <w:b/>
          <w:bCs/>
          <w:i/>
          <w:iCs/>
          <w:sz w:val="18"/>
          <w:szCs w:val="19"/>
        </w:rPr>
        <w:t xml:space="preserve">AOAC </w:t>
      </w:r>
      <w:r w:rsidRPr="005F2391">
        <w:rPr>
          <w:rFonts w:cs="Arial"/>
          <w:sz w:val="18"/>
          <w:szCs w:val="19"/>
        </w:rPr>
        <w:t xml:space="preserve">means the </w:t>
      </w:r>
      <w:r w:rsidRPr="005F2391">
        <w:rPr>
          <w:rFonts w:cs="Arial"/>
          <w:i/>
          <w:iCs/>
          <w:sz w:val="18"/>
          <w:szCs w:val="19"/>
        </w:rPr>
        <w:t>Official Methods of Analysis of AOAC International</w:t>
      </w:r>
      <w:r w:rsidRPr="005F2391">
        <w:rPr>
          <w:rFonts w:cs="Arial"/>
          <w:sz w:val="18"/>
          <w:szCs w:val="19"/>
        </w:rPr>
        <w:t xml:space="preserve">, </w:t>
      </w:r>
      <w:r w:rsidRPr="00395D25">
        <w:rPr>
          <w:rFonts w:cs="Arial"/>
          <w:sz w:val="18"/>
          <w:szCs w:val="19"/>
        </w:rPr>
        <w:t>twenty first edition, 2019,</w:t>
      </w:r>
      <w:r>
        <w:rPr>
          <w:rFonts w:cs="Arial"/>
          <w:sz w:val="18"/>
          <w:szCs w:val="19"/>
        </w:rPr>
        <w:t xml:space="preserve"> </w:t>
      </w:r>
      <w:r w:rsidRPr="005F2391">
        <w:rPr>
          <w:rFonts w:cs="Arial"/>
          <w:sz w:val="18"/>
          <w:szCs w:val="19"/>
        </w:rPr>
        <w:t>published by AOAC International, Maryland USA.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30EB1" w14:textId="6A5EC43E" w:rsidR="00452210" w:rsidRDefault="00452210">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871B5" w14:textId="203E276F" w:rsidR="00452210" w:rsidRPr="009319F9" w:rsidRDefault="00452210" w:rsidP="009319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111A" w14:textId="37BC66F5" w:rsidR="00452210" w:rsidRPr="009319F9" w:rsidRDefault="00452210" w:rsidP="009319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248DFB31" w:rsidR="00452210" w:rsidRDefault="0045221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35613"/>
    <w:multiLevelType w:val="hybridMultilevel"/>
    <w:tmpl w:val="C9B6C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D84600"/>
    <w:multiLevelType w:val="hybridMultilevel"/>
    <w:tmpl w:val="6E6CB97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EE190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5" w15:restartNumberingAfterBreak="0">
    <w:nsid w:val="059E30BD"/>
    <w:multiLevelType w:val="hybridMultilevel"/>
    <w:tmpl w:val="0528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F4060"/>
    <w:multiLevelType w:val="hybridMultilevel"/>
    <w:tmpl w:val="DD769F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750355E"/>
    <w:multiLevelType w:val="hybridMultilevel"/>
    <w:tmpl w:val="1C068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9" w15:restartNumberingAfterBreak="0">
    <w:nsid w:val="08665CE4"/>
    <w:multiLevelType w:val="hybridMultilevel"/>
    <w:tmpl w:val="CA38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360344"/>
    <w:multiLevelType w:val="hybridMultilevel"/>
    <w:tmpl w:val="0ECE7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B875F45"/>
    <w:multiLevelType w:val="multilevel"/>
    <w:tmpl w:val="3740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BC1F35"/>
    <w:multiLevelType w:val="hybridMultilevel"/>
    <w:tmpl w:val="B2D4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807874"/>
    <w:multiLevelType w:val="hybridMultilevel"/>
    <w:tmpl w:val="BECE5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F777A28"/>
    <w:multiLevelType w:val="multilevel"/>
    <w:tmpl w:val="6F9898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E313B9"/>
    <w:multiLevelType w:val="hybridMultilevel"/>
    <w:tmpl w:val="B99C206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12045BAC"/>
    <w:multiLevelType w:val="hybridMultilevel"/>
    <w:tmpl w:val="8614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7539BC"/>
    <w:multiLevelType w:val="hybridMultilevel"/>
    <w:tmpl w:val="1CF4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3C18FD"/>
    <w:multiLevelType w:val="hybridMultilevel"/>
    <w:tmpl w:val="8A987DD2"/>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9" w15:restartNumberingAfterBreak="0">
    <w:nsid w:val="137807BC"/>
    <w:multiLevelType w:val="hybridMultilevel"/>
    <w:tmpl w:val="B376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F01A89"/>
    <w:multiLevelType w:val="hybridMultilevel"/>
    <w:tmpl w:val="72F0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4F1BE8"/>
    <w:multiLevelType w:val="hybridMultilevel"/>
    <w:tmpl w:val="9D80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A439EF"/>
    <w:multiLevelType w:val="hybridMultilevel"/>
    <w:tmpl w:val="6AD4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395DAB"/>
    <w:multiLevelType w:val="multilevel"/>
    <w:tmpl w:val="43EC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4C306A"/>
    <w:multiLevelType w:val="hybridMultilevel"/>
    <w:tmpl w:val="660EC3AA"/>
    <w:lvl w:ilvl="0" w:tplc="0DEED85E">
      <w:start w:val="1"/>
      <w:numFmt w:val="bullet"/>
      <w:pStyle w:val="FS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DA201C8"/>
    <w:multiLevelType w:val="hybridMultilevel"/>
    <w:tmpl w:val="2D30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4574B9"/>
    <w:multiLevelType w:val="hybridMultilevel"/>
    <w:tmpl w:val="3F96DFF2"/>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A31C2C"/>
    <w:multiLevelType w:val="hybridMultilevel"/>
    <w:tmpl w:val="D6C6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EF7CA5"/>
    <w:multiLevelType w:val="multilevel"/>
    <w:tmpl w:val="18F2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070039"/>
    <w:multiLevelType w:val="hybridMultilevel"/>
    <w:tmpl w:val="93EC73C8"/>
    <w:lvl w:ilvl="0" w:tplc="A5ECBC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610FBD"/>
    <w:multiLevelType w:val="hybridMultilevel"/>
    <w:tmpl w:val="FA3A3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7A02B0"/>
    <w:multiLevelType w:val="hybridMultilevel"/>
    <w:tmpl w:val="8E40B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3F135A"/>
    <w:multiLevelType w:val="hybridMultilevel"/>
    <w:tmpl w:val="F33C08E0"/>
    <w:lvl w:ilvl="0" w:tplc="9CC6D0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43B2419"/>
    <w:multiLevelType w:val="hybridMultilevel"/>
    <w:tmpl w:val="29DC4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897718B"/>
    <w:multiLevelType w:val="hybridMultilevel"/>
    <w:tmpl w:val="4DF8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2C1EED"/>
    <w:multiLevelType w:val="hybridMultilevel"/>
    <w:tmpl w:val="1D26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C9046AA"/>
    <w:multiLevelType w:val="hybridMultilevel"/>
    <w:tmpl w:val="D6A2BBF6"/>
    <w:lvl w:ilvl="0" w:tplc="08090001">
      <w:start w:val="1"/>
      <w:numFmt w:val="bullet"/>
      <w:lvlText w:val=""/>
      <w:lvlJc w:val="left"/>
      <w:pPr>
        <w:ind w:left="720" w:hanging="360"/>
      </w:pPr>
      <w:rPr>
        <w:rFonts w:ascii="Symbol" w:hAnsi="Symbol" w:hint="default"/>
      </w:rPr>
    </w:lvl>
    <w:lvl w:ilvl="1" w:tplc="69601658">
      <w:numFmt w:val="bullet"/>
      <w:lvlText w:val="-"/>
      <w:lvlJc w:val="left"/>
      <w:pPr>
        <w:ind w:left="1440"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F2A26E4"/>
    <w:multiLevelType w:val="hybridMultilevel"/>
    <w:tmpl w:val="671620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7E04303"/>
    <w:multiLevelType w:val="hybridMultilevel"/>
    <w:tmpl w:val="22B6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7E63C51"/>
    <w:multiLevelType w:val="hybridMultilevel"/>
    <w:tmpl w:val="3E940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A12867"/>
    <w:multiLevelType w:val="hybridMultilevel"/>
    <w:tmpl w:val="74FEC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E75166"/>
    <w:multiLevelType w:val="hybridMultilevel"/>
    <w:tmpl w:val="F6FC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F64988"/>
    <w:multiLevelType w:val="hybridMultilevel"/>
    <w:tmpl w:val="3F2E11D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E1B5856"/>
    <w:multiLevelType w:val="hybridMultilevel"/>
    <w:tmpl w:val="E3DAD87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3F7B1A30"/>
    <w:multiLevelType w:val="hybridMultilevel"/>
    <w:tmpl w:val="D298BACC"/>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42C12570"/>
    <w:multiLevelType w:val="hybridMultilevel"/>
    <w:tmpl w:val="F26EF9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2E0587A"/>
    <w:multiLevelType w:val="hybridMultilevel"/>
    <w:tmpl w:val="2E82A9B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6A2A9F"/>
    <w:multiLevelType w:val="hybridMultilevel"/>
    <w:tmpl w:val="BE288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49260160"/>
    <w:multiLevelType w:val="hybridMultilevel"/>
    <w:tmpl w:val="D09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CBD36CE"/>
    <w:multiLevelType w:val="hybridMultilevel"/>
    <w:tmpl w:val="5FA25AFE"/>
    <w:lvl w:ilvl="0" w:tplc="1348280E">
      <w:start w:val="1"/>
      <w:numFmt w:val="bullet"/>
      <w:lvlText w:val=""/>
      <w:lvlPicBulletId w:val="1"/>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E2A6EAA"/>
    <w:multiLevelType w:val="hybridMultilevel"/>
    <w:tmpl w:val="6DD6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A54762"/>
    <w:multiLevelType w:val="hybridMultilevel"/>
    <w:tmpl w:val="B94E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0435577"/>
    <w:multiLevelType w:val="multilevel"/>
    <w:tmpl w:val="12E42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FF11D1"/>
    <w:multiLevelType w:val="hybridMultilevel"/>
    <w:tmpl w:val="EB06DA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53150CD2"/>
    <w:multiLevelType w:val="hybridMultilevel"/>
    <w:tmpl w:val="24B6A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3825DA2"/>
    <w:multiLevelType w:val="hybridMultilevel"/>
    <w:tmpl w:val="B7B63384"/>
    <w:lvl w:ilvl="0" w:tplc="D1C27EC2">
      <w:start w:val="1"/>
      <w:numFmt w:val="bullet"/>
      <w:lvlText w:val=""/>
      <w:lvlJc w:val="left"/>
      <w:pPr>
        <w:ind w:left="360" w:hanging="360"/>
      </w:pPr>
      <w:rPr>
        <w:rFonts w:ascii="Symbol" w:hAnsi="Symbol" w:hint="default"/>
      </w:rPr>
    </w:lvl>
    <w:lvl w:ilvl="1" w:tplc="D1C27EC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57776F0"/>
    <w:multiLevelType w:val="hybridMultilevel"/>
    <w:tmpl w:val="BA64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9C47C27"/>
    <w:multiLevelType w:val="hybridMultilevel"/>
    <w:tmpl w:val="576A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EF6B7E"/>
    <w:multiLevelType w:val="hybridMultilevel"/>
    <w:tmpl w:val="1A1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397646"/>
    <w:multiLevelType w:val="hybridMultilevel"/>
    <w:tmpl w:val="79C0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34B0239"/>
    <w:multiLevelType w:val="hybridMultilevel"/>
    <w:tmpl w:val="E0D4D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39C20F5"/>
    <w:multiLevelType w:val="hybridMultilevel"/>
    <w:tmpl w:val="2BCA2D44"/>
    <w:lvl w:ilvl="0" w:tplc="08090001">
      <w:start w:val="1"/>
      <w:numFmt w:val="bullet"/>
      <w:lvlText w:val=""/>
      <w:lvlJc w:val="left"/>
      <w:pPr>
        <w:ind w:left="360" w:hanging="360"/>
      </w:pPr>
      <w:rPr>
        <w:rFonts w:ascii="Symbol" w:hAnsi="Symbol" w:hint="default"/>
      </w:rPr>
    </w:lvl>
    <w:lvl w:ilvl="1" w:tplc="D1C27EC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3B1565A"/>
    <w:multiLevelType w:val="hybridMultilevel"/>
    <w:tmpl w:val="EB663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9" w15:restartNumberingAfterBreak="0">
    <w:nsid w:val="66790375"/>
    <w:multiLevelType w:val="hybridMultilevel"/>
    <w:tmpl w:val="A118A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66C43D40"/>
    <w:multiLevelType w:val="hybridMultilevel"/>
    <w:tmpl w:val="FB5A2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690236AD"/>
    <w:multiLevelType w:val="hybridMultilevel"/>
    <w:tmpl w:val="B48E5342"/>
    <w:lvl w:ilvl="0" w:tplc="08090001">
      <w:start w:val="1"/>
      <w:numFmt w:val="bullet"/>
      <w:lvlText w:val=""/>
      <w:lvlJc w:val="left"/>
      <w:pPr>
        <w:ind w:left="927" w:hanging="360"/>
      </w:pPr>
      <w:rPr>
        <w:rFonts w:ascii="Symbol" w:hAnsi="Symbol" w:hint="default"/>
      </w:rPr>
    </w:lvl>
    <w:lvl w:ilvl="1" w:tplc="D1C27EC2">
      <w:start w:val="1"/>
      <w:numFmt w:val="bullet"/>
      <w:pStyle w:val="Dotpoin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2" w15:restartNumberingAfterBreak="0">
    <w:nsid w:val="6F6C58F0"/>
    <w:multiLevelType w:val="multilevel"/>
    <w:tmpl w:val="69766BE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D32682"/>
    <w:multiLevelType w:val="hybridMultilevel"/>
    <w:tmpl w:val="14C8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75" w15:restartNumberingAfterBreak="0">
    <w:nsid w:val="739737AD"/>
    <w:multiLevelType w:val="hybridMultilevel"/>
    <w:tmpl w:val="738C5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6" w15:restartNumberingAfterBreak="0">
    <w:nsid w:val="73AB46AF"/>
    <w:multiLevelType w:val="hybridMultilevel"/>
    <w:tmpl w:val="C1D6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57F5417"/>
    <w:multiLevelType w:val="hybridMultilevel"/>
    <w:tmpl w:val="4E9C13EA"/>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78" w15:restartNumberingAfterBreak="0">
    <w:nsid w:val="76597D12"/>
    <w:multiLevelType w:val="hybridMultilevel"/>
    <w:tmpl w:val="F52A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6E033E6"/>
    <w:multiLevelType w:val="hybridMultilevel"/>
    <w:tmpl w:val="7B3E6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7A9E44EE"/>
    <w:multiLevelType w:val="multilevel"/>
    <w:tmpl w:val="69766BE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B7469A8"/>
    <w:multiLevelType w:val="hybridMultilevel"/>
    <w:tmpl w:val="4BE886B8"/>
    <w:lvl w:ilvl="0" w:tplc="9FC84D2A">
      <w:start w:val="1"/>
      <w:numFmt w:val="bullet"/>
      <w:pStyle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7C297240"/>
    <w:multiLevelType w:val="hybridMultilevel"/>
    <w:tmpl w:val="9D14AE30"/>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7C6051EC"/>
    <w:multiLevelType w:val="hybridMultilevel"/>
    <w:tmpl w:val="03D0A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D271D31"/>
    <w:multiLevelType w:val="hybridMultilevel"/>
    <w:tmpl w:val="45321C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E31660F"/>
    <w:multiLevelType w:val="hybridMultilevel"/>
    <w:tmpl w:val="41E44FCC"/>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86" w15:restartNumberingAfterBreak="0">
    <w:nsid w:val="7F8F5A5C"/>
    <w:multiLevelType w:val="hybridMultilevel"/>
    <w:tmpl w:val="818C755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
  </w:num>
  <w:num w:numId="2">
    <w:abstractNumId w:val="54"/>
  </w:num>
  <w:num w:numId="3">
    <w:abstractNumId w:val="0"/>
  </w:num>
  <w:num w:numId="4">
    <w:abstractNumId w:val="68"/>
  </w:num>
  <w:num w:numId="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74"/>
  </w:num>
  <w:num w:numId="8">
    <w:abstractNumId w:val="53"/>
  </w:num>
  <w:num w:numId="9">
    <w:abstractNumId w:val="24"/>
  </w:num>
  <w:num w:numId="10">
    <w:abstractNumId w:val="50"/>
  </w:num>
  <w:num w:numId="11">
    <w:abstractNumId w:val="21"/>
  </w:num>
  <w:num w:numId="12">
    <w:abstractNumId w:val="32"/>
  </w:num>
  <w:num w:numId="13">
    <w:abstractNumId w:val="77"/>
  </w:num>
  <w:num w:numId="14">
    <w:abstractNumId w:val="56"/>
  </w:num>
  <w:num w:numId="15">
    <w:abstractNumId w:val="57"/>
  </w:num>
  <w:num w:numId="16">
    <w:abstractNumId w:val="28"/>
  </w:num>
  <w:num w:numId="17">
    <w:abstractNumId w:val="14"/>
  </w:num>
  <w:num w:numId="18">
    <w:abstractNumId w:val="23"/>
  </w:num>
  <w:num w:numId="19">
    <w:abstractNumId w:val="5"/>
  </w:num>
  <w:num w:numId="20">
    <w:abstractNumId w:val="4"/>
  </w:num>
  <w:num w:numId="21">
    <w:abstractNumId w:val="17"/>
  </w:num>
  <w:num w:numId="22">
    <w:abstractNumId w:val="37"/>
  </w:num>
  <w:num w:numId="23">
    <w:abstractNumId w:val="2"/>
  </w:num>
  <w:num w:numId="24">
    <w:abstractNumId w:val="12"/>
  </w:num>
  <w:num w:numId="25">
    <w:abstractNumId w:val="64"/>
  </w:num>
  <w:num w:numId="26">
    <w:abstractNumId w:val="49"/>
  </w:num>
  <w:num w:numId="27">
    <w:abstractNumId w:val="15"/>
  </w:num>
  <w:num w:numId="28">
    <w:abstractNumId w:val="11"/>
  </w:num>
  <w:num w:numId="29">
    <w:abstractNumId w:val="20"/>
  </w:num>
  <w:num w:numId="30">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6"/>
  </w:num>
  <w:num w:numId="33">
    <w:abstractNumId w:val="44"/>
  </w:num>
  <w:num w:numId="34">
    <w:abstractNumId w:val="34"/>
  </w:num>
  <w:num w:numId="35">
    <w:abstractNumId w:val="52"/>
  </w:num>
  <w:num w:numId="36">
    <w:abstractNumId w:val="27"/>
  </w:num>
  <w:num w:numId="37">
    <w:abstractNumId w:val="29"/>
  </w:num>
  <w:num w:numId="38">
    <w:abstractNumId w:val="19"/>
  </w:num>
  <w:num w:numId="39">
    <w:abstractNumId w:val="39"/>
  </w:num>
  <w:num w:numId="40">
    <w:abstractNumId w:val="76"/>
  </w:num>
  <w:num w:numId="41">
    <w:abstractNumId w:val="41"/>
  </w:num>
  <w:num w:numId="42">
    <w:abstractNumId w:val="63"/>
  </w:num>
  <w:num w:numId="43">
    <w:abstractNumId w:val="40"/>
  </w:num>
  <w:num w:numId="44">
    <w:abstractNumId w:val="84"/>
  </w:num>
  <w:num w:numId="45">
    <w:abstractNumId w:val="13"/>
  </w:num>
  <w:num w:numId="46">
    <w:abstractNumId w:val="72"/>
  </w:num>
  <w:num w:numId="47">
    <w:abstractNumId w:val="71"/>
  </w:num>
  <w:num w:numId="48">
    <w:abstractNumId w:val="60"/>
  </w:num>
  <w:num w:numId="49">
    <w:abstractNumId w:val="75"/>
  </w:num>
  <w:num w:numId="50">
    <w:abstractNumId w:val="69"/>
  </w:num>
  <w:num w:numId="51">
    <w:abstractNumId w:val="67"/>
  </w:num>
  <w:num w:numId="52">
    <w:abstractNumId w:val="58"/>
  </w:num>
  <w:num w:numId="53">
    <w:abstractNumId w:val="75"/>
  </w:num>
  <w:num w:numId="54">
    <w:abstractNumId w:val="69"/>
  </w:num>
  <w:num w:numId="55">
    <w:abstractNumId w:val="67"/>
  </w:num>
  <w:num w:numId="56">
    <w:abstractNumId w:val="66"/>
  </w:num>
  <w:num w:numId="57">
    <w:abstractNumId w:val="61"/>
  </w:num>
  <w:num w:numId="58">
    <w:abstractNumId w:val="46"/>
  </w:num>
  <w:num w:numId="59">
    <w:abstractNumId w:val="8"/>
  </w:num>
  <w:num w:numId="60">
    <w:abstractNumId w:val="43"/>
  </w:num>
  <w:num w:numId="61">
    <w:abstractNumId w:val="31"/>
  </w:num>
  <w:num w:numId="62">
    <w:abstractNumId w:val="33"/>
  </w:num>
  <w:num w:numId="63">
    <w:abstractNumId w:val="55"/>
  </w:num>
  <w:num w:numId="64">
    <w:abstractNumId w:val="6"/>
  </w:num>
  <w:num w:numId="65">
    <w:abstractNumId w:val="30"/>
  </w:num>
  <w:num w:numId="66">
    <w:abstractNumId w:val="42"/>
  </w:num>
  <w:num w:numId="67">
    <w:abstractNumId w:val="85"/>
  </w:num>
  <w:num w:numId="68">
    <w:abstractNumId w:val="25"/>
  </w:num>
  <w:num w:numId="69">
    <w:abstractNumId w:val="86"/>
  </w:num>
  <w:num w:numId="70">
    <w:abstractNumId w:val="26"/>
  </w:num>
  <w:num w:numId="71">
    <w:abstractNumId w:val="45"/>
  </w:num>
  <w:num w:numId="72">
    <w:abstractNumId w:val="3"/>
  </w:num>
  <w:num w:numId="73">
    <w:abstractNumId w:val="47"/>
  </w:num>
  <w:num w:numId="74">
    <w:abstractNumId w:val="16"/>
  </w:num>
  <w:num w:numId="75">
    <w:abstractNumId w:val="62"/>
  </w:num>
  <w:num w:numId="76">
    <w:abstractNumId w:val="79"/>
  </w:num>
  <w:num w:numId="77">
    <w:abstractNumId w:val="10"/>
  </w:num>
  <w:num w:numId="78">
    <w:abstractNumId w:val="83"/>
  </w:num>
  <w:num w:numId="79">
    <w:abstractNumId w:val="70"/>
  </w:num>
  <w:num w:numId="80">
    <w:abstractNumId w:val="51"/>
  </w:num>
  <w:num w:numId="81">
    <w:abstractNumId w:val="78"/>
  </w:num>
  <w:num w:numId="82">
    <w:abstractNumId w:val="65"/>
  </w:num>
  <w:num w:numId="83">
    <w:abstractNumId w:val="73"/>
  </w:num>
  <w:num w:numId="84">
    <w:abstractNumId w:val="82"/>
  </w:num>
  <w:num w:numId="85">
    <w:abstractNumId w:val="9"/>
  </w:num>
  <w:num w:numId="86">
    <w:abstractNumId w:val="59"/>
  </w:num>
  <w:num w:numId="87">
    <w:abstractNumId w:val="18"/>
  </w:num>
  <w:num w:numId="88">
    <w:abstractNumId w:val="80"/>
  </w:num>
  <w:num w:numId="89">
    <w:abstractNumId w:val="7"/>
  </w:num>
  <w:num w:numId="90">
    <w:abstractNumId w:val="2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DF0"/>
    <w:rsid w:val="00000EC5"/>
    <w:rsid w:val="000014AE"/>
    <w:rsid w:val="00001CF2"/>
    <w:rsid w:val="00001D6A"/>
    <w:rsid w:val="0000247B"/>
    <w:rsid w:val="00002F35"/>
    <w:rsid w:val="00004274"/>
    <w:rsid w:val="0000469B"/>
    <w:rsid w:val="000049CD"/>
    <w:rsid w:val="00004A85"/>
    <w:rsid w:val="00007861"/>
    <w:rsid w:val="00007DDF"/>
    <w:rsid w:val="00011796"/>
    <w:rsid w:val="00012E79"/>
    <w:rsid w:val="00013483"/>
    <w:rsid w:val="00013796"/>
    <w:rsid w:val="00014FFE"/>
    <w:rsid w:val="00015D31"/>
    <w:rsid w:val="000165BF"/>
    <w:rsid w:val="00016CB6"/>
    <w:rsid w:val="00017057"/>
    <w:rsid w:val="000175FE"/>
    <w:rsid w:val="00017C6F"/>
    <w:rsid w:val="00020206"/>
    <w:rsid w:val="00020F33"/>
    <w:rsid w:val="000213F3"/>
    <w:rsid w:val="00022DBC"/>
    <w:rsid w:val="000230BF"/>
    <w:rsid w:val="00024318"/>
    <w:rsid w:val="00027AFE"/>
    <w:rsid w:val="00027F53"/>
    <w:rsid w:val="000307B6"/>
    <w:rsid w:val="00030F8F"/>
    <w:rsid w:val="00031451"/>
    <w:rsid w:val="000329F3"/>
    <w:rsid w:val="00032FA2"/>
    <w:rsid w:val="00033635"/>
    <w:rsid w:val="00034F87"/>
    <w:rsid w:val="00035FF3"/>
    <w:rsid w:val="000376E1"/>
    <w:rsid w:val="00042644"/>
    <w:rsid w:val="000427B2"/>
    <w:rsid w:val="00044694"/>
    <w:rsid w:val="00044EF8"/>
    <w:rsid w:val="00044F5B"/>
    <w:rsid w:val="00046605"/>
    <w:rsid w:val="0005019F"/>
    <w:rsid w:val="00050EC8"/>
    <w:rsid w:val="00050FCF"/>
    <w:rsid w:val="00051021"/>
    <w:rsid w:val="00051034"/>
    <w:rsid w:val="00051ED9"/>
    <w:rsid w:val="000527F4"/>
    <w:rsid w:val="00052B52"/>
    <w:rsid w:val="000564DE"/>
    <w:rsid w:val="00056A05"/>
    <w:rsid w:val="00056BCB"/>
    <w:rsid w:val="00057181"/>
    <w:rsid w:val="00057F79"/>
    <w:rsid w:val="000603F0"/>
    <w:rsid w:val="00061385"/>
    <w:rsid w:val="00062EF5"/>
    <w:rsid w:val="000635F5"/>
    <w:rsid w:val="0006415E"/>
    <w:rsid w:val="00064B2D"/>
    <w:rsid w:val="00065894"/>
    <w:rsid w:val="00065F1F"/>
    <w:rsid w:val="00071F1F"/>
    <w:rsid w:val="00072816"/>
    <w:rsid w:val="000735FD"/>
    <w:rsid w:val="0007466A"/>
    <w:rsid w:val="00074709"/>
    <w:rsid w:val="00076092"/>
    <w:rsid w:val="00076AF8"/>
    <w:rsid w:val="00076D33"/>
    <w:rsid w:val="000778D6"/>
    <w:rsid w:val="00081EF1"/>
    <w:rsid w:val="00082459"/>
    <w:rsid w:val="00086A52"/>
    <w:rsid w:val="00086F2D"/>
    <w:rsid w:val="000877DD"/>
    <w:rsid w:val="000900B0"/>
    <w:rsid w:val="00091CC2"/>
    <w:rsid w:val="00091F3A"/>
    <w:rsid w:val="0009335E"/>
    <w:rsid w:val="00093DC4"/>
    <w:rsid w:val="0009517B"/>
    <w:rsid w:val="000971EA"/>
    <w:rsid w:val="000974BC"/>
    <w:rsid w:val="000A024E"/>
    <w:rsid w:val="000A27E9"/>
    <w:rsid w:val="000A2EC5"/>
    <w:rsid w:val="000A3D8B"/>
    <w:rsid w:val="000A53E3"/>
    <w:rsid w:val="000A5AA3"/>
    <w:rsid w:val="000A5DF8"/>
    <w:rsid w:val="000A67E1"/>
    <w:rsid w:val="000A7889"/>
    <w:rsid w:val="000B0723"/>
    <w:rsid w:val="000B118E"/>
    <w:rsid w:val="000B23D7"/>
    <w:rsid w:val="000B3863"/>
    <w:rsid w:val="000B4ECC"/>
    <w:rsid w:val="000B668D"/>
    <w:rsid w:val="000B6AF2"/>
    <w:rsid w:val="000B7FD1"/>
    <w:rsid w:val="000C1D3A"/>
    <w:rsid w:val="000C2563"/>
    <w:rsid w:val="000C3852"/>
    <w:rsid w:val="000C412C"/>
    <w:rsid w:val="000C4328"/>
    <w:rsid w:val="000C471D"/>
    <w:rsid w:val="000D1661"/>
    <w:rsid w:val="000D2610"/>
    <w:rsid w:val="000D295F"/>
    <w:rsid w:val="000D2D97"/>
    <w:rsid w:val="000D3D4E"/>
    <w:rsid w:val="000D3FDA"/>
    <w:rsid w:val="000D44B6"/>
    <w:rsid w:val="000D4974"/>
    <w:rsid w:val="000D536F"/>
    <w:rsid w:val="000D60FB"/>
    <w:rsid w:val="000D614B"/>
    <w:rsid w:val="000D6701"/>
    <w:rsid w:val="000D6FD4"/>
    <w:rsid w:val="000E0AE4"/>
    <w:rsid w:val="000E1DF8"/>
    <w:rsid w:val="000E2521"/>
    <w:rsid w:val="000E3DBC"/>
    <w:rsid w:val="000E3F09"/>
    <w:rsid w:val="000E4071"/>
    <w:rsid w:val="000E491E"/>
    <w:rsid w:val="000E59E9"/>
    <w:rsid w:val="000F08A1"/>
    <w:rsid w:val="000F0BDF"/>
    <w:rsid w:val="000F0D32"/>
    <w:rsid w:val="000F1BAD"/>
    <w:rsid w:val="000F2AF3"/>
    <w:rsid w:val="000F4F21"/>
    <w:rsid w:val="000F5ED9"/>
    <w:rsid w:val="000F6977"/>
    <w:rsid w:val="000F7E78"/>
    <w:rsid w:val="00100BE0"/>
    <w:rsid w:val="00103D4F"/>
    <w:rsid w:val="00103F58"/>
    <w:rsid w:val="00105F7C"/>
    <w:rsid w:val="00105F9A"/>
    <w:rsid w:val="0010737A"/>
    <w:rsid w:val="00110835"/>
    <w:rsid w:val="0011338F"/>
    <w:rsid w:val="00113CE3"/>
    <w:rsid w:val="0011572A"/>
    <w:rsid w:val="00117522"/>
    <w:rsid w:val="0012172D"/>
    <w:rsid w:val="00121780"/>
    <w:rsid w:val="001235EF"/>
    <w:rsid w:val="00125255"/>
    <w:rsid w:val="001259C2"/>
    <w:rsid w:val="00127A91"/>
    <w:rsid w:val="001306A8"/>
    <w:rsid w:val="00130B59"/>
    <w:rsid w:val="00131BC3"/>
    <w:rsid w:val="00132543"/>
    <w:rsid w:val="00133091"/>
    <w:rsid w:val="0013312C"/>
    <w:rsid w:val="00133E0C"/>
    <w:rsid w:val="00134B3A"/>
    <w:rsid w:val="00135062"/>
    <w:rsid w:val="001351DC"/>
    <w:rsid w:val="00135D17"/>
    <w:rsid w:val="001364DC"/>
    <w:rsid w:val="00137188"/>
    <w:rsid w:val="00141DE8"/>
    <w:rsid w:val="0014259D"/>
    <w:rsid w:val="001438DE"/>
    <w:rsid w:val="0014487F"/>
    <w:rsid w:val="00144FB0"/>
    <w:rsid w:val="0014588D"/>
    <w:rsid w:val="00146178"/>
    <w:rsid w:val="00147029"/>
    <w:rsid w:val="00151550"/>
    <w:rsid w:val="001542D8"/>
    <w:rsid w:val="00155047"/>
    <w:rsid w:val="001557C0"/>
    <w:rsid w:val="00156E47"/>
    <w:rsid w:val="00161EDF"/>
    <w:rsid w:val="00163109"/>
    <w:rsid w:val="00164841"/>
    <w:rsid w:val="001721AA"/>
    <w:rsid w:val="00172F26"/>
    <w:rsid w:val="001755B0"/>
    <w:rsid w:val="00175B56"/>
    <w:rsid w:val="00176F27"/>
    <w:rsid w:val="001804C3"/>
    <w:rsid w:val="00180C41"/>
    <w:rsid w:val="0018269D"/>
    <w:rsid w:val="00182C4C"/>
    <w:rsid w:val="00183852"/>
    <w:rsid w:val="00184979"/>
    <w:rsid w:val="001855C8"/>
    <w:rsid w:val="00186560"/>
    <w:rsid w:val="00186680"/>
    <w:rsid w:val="0018699A"/>
    <w:rsid w:val="00186BD1"/>
    <w:rsid w:val="001879CF"/>
    <w:rsid w:val="00187B57"/>
    <w:rsid w:val="00190724"/>
    <w:rsid w:val="0019079D"/>
    <w:rsid w:val="00190901"/>
    <w:rsid w:val="00192F90"/>
    <w:rsid w:val="001930F3"/>
    <w:rsid w:val="001931B2"/>
    <w:rsid w:val="001936CC"/>
    <w:rsid w:val="00193A14"/>
    <w:rsid w:val="00195254"/>
    <w:rsid w:val="00195FD2"/>
    <w:rsid w:val="001964D1"/>
    <w:rsid w:val="00197487"/>
    <w:rsid w:val="00197D8D"/>
    <w:rsid w:val="001A1A75"/>
    <w:rsid w:val="001A1D0B"/>
    <w:rsid w:val="001A1D24"/>
    <w:rsid w:val="001A31D4"/>
    <w:rsid w:val="001A3C83"/>
    <w:rsid w:val="001A45E4"/>
    <w:rsid w:val="001A5EDB"/>
    <w:rsid w:val="001A68B5"/>
    <w:rsid w:val="001A72B4"/>
    <w:rsid w:val="001A7C3D"/>
    <w:rsid w:val="001A7E9A"/>
    <w:rsid w:val="001B15A4"/>
    <w:rsid w:val="001B36C3"/>
    <w:rsid w:val="001B4D3E"/>
    <w:rsid w:val="001B4E55"/>
    <w:rsid w:val="001B61BF"/>
    <w:rsid w:val="001B782C"/>
    <w:rsid w:val="001C071C"/>
    <w:rsid w:val="001C1512"/>
    <w:rsid w:val="001C1521"/>
    <w:rsid w:val="001C17E6"/>
    <w:rsid w:val="001C208D"/>
    <w:rsid w:val="001C27A3"/>
    <w:rsid w:val="001C282C"/>
    <w:rsid w:val="001C3BFD"/>
    <w:rsid w:val="001C3D2F"/>
    <w:rsid w:val="001C43A2"/>
    <w:rsid w:val="001C47F3"/>
    <w:rsid w:val="001C4A78"/>
    <w:rsid w:val="001C5282"/>
    <w:rsid w:val="001C5295"/>
    <w:rsid w:val="001C5AA2"/>
    <w:rsid w:val="001D194A"/>
    <w:rsid w:val="001D2111"/>
    <w:rsid w:val="001D2B3A"/>
    <w:rsid w:val="001D33CA"/>
    <w:rsid w:val="001D3DEA"/>
    <w:rsid w:val="001D4CB7"/>
    <w:rsid w:val="001E049A"/>
    <w:rsid w:val="001E09FA"/>
    <w:rsid w:val="001E2434"/>
    <w:rsid w:val="001E2C1A"/>
    <w:rsid w:val="001E38F7"/>
    <w:rsid w:val="001E57B4"/>
    <w:rsid w:val="001E589B"/>
    <w:rsid w:val="001F0AE6"/>
    <w:rsid w:val="001F10DC"/>
    <w:rsid w:val="001F344F"/>
    <w:rsid w:val="001F3C04"/>
    <w:rsid w:val="001F412C"/>
    <w:rsid w:val="001F4601"/>
    <w:rsid w:val="001F4A20"/>
    <w:rsid w:val="001F5B9C"/>
    <w:rsid w:val="001F6652"/>
    <w:rsid w:val="001F6EEB"/>
    <w:rsid w:val="001F705C"/>
    <w:rsid w:val="001F719F"/>
    <w:rsid w:val="001F74B2"/>
    <w:rsid w:val="001F7AC7"/>
    <w:rsid w:val="00200C45"/>
    <w:rsid w:val="00200FE1"/>
    <w:rsid w:val="00203540"/>
    <w:rsid w:val="00204A05"/>
    <w:rsid w:val="00205B22"/>
    <w:rsid w:val="00205F12"/>
    <w:rsid w:val="002065B2"/>
    <w:rsid w:val="0020696D"/>
    <w:rsid w:val="00207F03"/>
    <w:rsid w:val="00211F4E"/>
    <w:rsid w:val="00213FF5"/>
    <w:rsid w:val="002144F3"/>
    <w:rsid w:val="00214609"/>
    <w:rsid w:val="0021489D"/>
    <w:rsid w:val="002149FB"/>
    <w:rsid w:val="002174DA"/>
    <w:rsid w:val="00217939"/>
    <w:rsid w:val="00220892"/>
    <w:rsid w:val="0022164A"/>
    <w:rsid w:val="00221956"/>
    <w:rsid w:val="00221D07"/>
    <w:rsid w:val="00222B4F"/>
    <w:rsid w:val="0022327D"/>
    <w:rsid w:val="00224984"/>
    <w:rsid w:val="002249EB"/>
    <w:rsid w:val="00227240"/>
    <w:rsid w:val="00227E4A"/>
    <w:rsid w:val="00231735"/>
    <w:rsid w:val="00231813"/>
    <w:rsid w:val="00231EDF"/>
    <w:rsid w:val="00232A42"/>
    <w:rsid w:val="00232E42"/>
    <w:rsid w:val="00233C52"/>
    <w:rsid w:val="002346C4"/>
    <w:rsid w:val="00236655"/>
    <w:rsid w:val="0023690B"/>
    <w:rsid w:val="0024016A"/>
    <w:rsid w:val="002432EE"/>
    <w:rsid w:val="002440B5"/>
    <w:rsid w:val="0024582E"/>
    <w:rsid w:val="0024633E"/>
    <w:rsid w:val="0024666A"/>
    <w:rsid w:val="00247AA9"/>
    <w:rsid w:val="002513B1"/>
    <w:rsid w:val="002531AB"/>
    <w:rsid w:val="002537E7"/>
    <w:rsid w:val="002547EF"/>
    <w:rsid w:val="002549BA"/>
    <w:rsid w:val="002556B3"/>
    <w:rsid w:val="002560DE"/>
    <w:rsid w:val="00256D65"/>
    <w:rsid w:val="002637D4"/>
    <w:rsid w:val="00265029"/>
    <w:rsid w:val="00267036"/>
    <w:rsid w:val="002707AC"/>
    <w:rsid w:val="002718A1"/>
    <w:rsid w:val="002719D9"/>
    <w:rsid w:val="00271E78"/>
    <w:rsid w:val="00271F00"/>
    <w:rsid w:val="00272C64"/>
    <w:rsid w:val="00273834"/>
    <w:rsid w:val="00273A80"/>
    <w:rsid w:val="00274D38"/>
    <w:rsid w:val="00274EC5"/>
    <w:rsid w:val="0027513D"/>
    <w:rsid w:val="00276026"/>
    <w:rsid w:val="0027794F"/>
    <w:rsid w:val="002811FA"/>
    <w:rsid w:val="00282D0E"/>
    <w:rsid w:val="00282D1A"/>
    <w:rsid w:val="00282D9D"/>
    <w:rsid w:val="00283D75"/>
    <w:rsid w:val="002851C8"/>
    <w:rsid w:val="00286462"/>
    <w:rsid w:val="00286C6B"/>
    <w:rsid w:val="00287201"/>
    <w:rsid w:val="00290C0C"/>
    <w:rsid w:val="002916B7"/>
    <w:rsid w:val="0029204E"/>
    <w:rsid w:val="002925AA"/>
    <w:rsid w:val="002934C9"/>
    <w:rsid w:val="00293AE4"/>
    <w:rsid w:val="00294BAD"/>
    <w:rsid w:val="0029631C"/>
    <w:rsid w:val="002A0194"/>
    <w:rsid w:val="002A0B2C"/>
    <w:rsid w:val="002A23E5"/>
    <w:rsid w:val="002A3375"/>
    <w:rsid w:val="002A45D9"/>
    <w:rsid w:val="002A4CA8"/>
    <w:rsid w:val="002A5F8B"/>
    <w:rsid w:val="002A6851"/>
    <w:rsid w:val="002A7F6C"/>
    <w:rsid w:val="002B0D8E"/>
    <w:rsid w:val="002B14C6"/>
    <w:rsid w:val="002B19DC"/>
    <w:rsid w:val="002B1F04"/>
    <w:rsid w:val="002B31BC"/>
    <w:rsid w:val="002B3BFA"/>
    <w:rsid w:val="002B4311"/>
    <w:rsid w:val="002B4617"/>
    <w:rsid w:val="002B533E"/>
    <w:rsid w:val="002B5958"/>
    <w:rsid w:val="002B5A46"/>
    <w:rsid w:val="002B5B46"/>
    <w:rsid w:val="002B5DBA"/>
    <w:rsid w:val="002B67E2"/>
    <w:rsid w:val="002C0E5D"/>
    <w:rsid w:val="002C1734"/>
    <w:rsid w:val="002C445C"/>
    <w:rsid w:val="002C493C"/>
    <w:rsid w:val="002C4A91"/>
    <w:rsid w:val="002C4D40"/>
    <w:rsid w:val="002C7335"/>
    <w:rsid w:val="002C7A11"/>
    <w:rsid w:val="002D07FD"/>
    <w:rsid w:val="002D0DDE"/>
    <w:rsid w:val="002D112D"/>
    <w:rsid w:val="002D17D7"/>
    <w:rsid w:val="002D3B05"/>
    <w:rsid w:val="002D4B45"/>
    <w:rsid w:val="002D6809"/>
    <w:rsid w:val="002D7088"/>
    <w:rsid w:val="002D7CCA"/>
    <w:rsid w:val="002E086A"/>
    <w:rsid w:val="002E0C8E"/>
    <w:rsid w:val="002E3B30"/>
    <w:rsid w:val="002E4F4E"/>
    <w:rsid w:val="002F4457"/>
    <w:rsid w:val="002F5379"/>
    <w:rsid w:val="002F6488"/>
    <w:rsid w:val="002F65C6"/>
    <w:rsid w:val="003021F7"/>
    <w:rsid w:val="0030279C"/>
    <w:rsid w:val="00302930"/>
    <w:rsid w:val="003029C4"/>
    <w:rsid w:val="00302AE0"/>
    <w:rsid w:val="003032AD"/>
    <w:rsid w:val="003038AE"/>
    <w:rsid w:val="00304951"/>
    <w:rsid w:val="00304B7F"/>
    <w:rsid w:val="00305634"/>
    <w:rsid w:val="003079F6"/>
    <w:rsid w:val="00310575"/>
    <w:rsid w:val="00310E84"/>
    <w:rsid w:val="00311E35"/>
    <w:rsid w:val="00312551"/>
    <w:rsid w:val="0031314A"/>
    <w:rsid w:val="00314854"/>
    <w:rsid w:val="00314DB9"/>
    <w:rsid w:val="003158CB"/>
    <w:rsid w:val="00315A71"/>
    <w:rsid w:val="00315C1D"/>
    <w:rsid w:val="00317502"/>
    <w:rsid w:val="00317735"/>
    <w:rsid w:val="00320257"/>
    <w:rsid w:val="003213F9"/>
    <w:rsid w:val="0032340B"/>
    <w:rsid w:val="00323DBF"/>
    <w:rsid w:val="003240F1"/>
    <w:rsid w:val="00325BCC"/>
    <w:rsid w:val="00327715"/>
    <w:rsid w:val="00327725"/>
    <w:rsid w:val="00327DE6"/>
    <w:rsid w:val="003309A8"/>
    <w:rsid w:val="00330CBD"/>
    <w:rsid w:val="00332B12"/>
    <w:rsid w:val="003341CA"/>
    <w:rsid w:val="0033470E"/>
    <w:rsid w:val="0033528B"/>
    <w:rsid w:val="00336711"/>
    <w:rsid w:val="00341606"/>
    <w:rsid w:val="003418BC"/>
    <w:rsid w:val="00342899"/>
    <w:rsid w:val="00346300"/>
    <w:rsid w:val="003463DB"/>
    <w:rsid w:val="00346496"/>
    <w:rsid w:val="003466B6"/>
    <w:rsid w:val="00347246"/>
    <w:rsid w:val="00347935"/>
    <w:rsid w:val="00347AC8"/>
    <w:rsid w:val="003506D2"/>
    <w:rsid w:val="00350AD7"/>
    <w:rsid w:val="00350DBD"/>
    <w:rsid w:val="00351593"/>
    <w:rsid w:val="00351927"/>
    <w:rsid w:val="00351B07"/>
    <w:rsid w:val="00354BCE"/>
    <w:rsid w:val="00357445"/>
    <w:rsid w:val="00360A9B"/>
    <w:rsid w:val="00362245"/>
    <w:rsid w:val="0036254B"/>
    <w:rsid w:val="0036268A"/>
    <w:rsid w:val="00364841"/>
    <w:rsid w:val="003649CF"/>
    <w:rsid w:val="003650C3"/>
    <w:rsid w:val="00365141"/>
    <w:rsid w:val="003659D0"/>
    <w:rsid w:val="003663FF"/>
    <w:rsid w:val="003665B1"/>
    <w:rsid w:val="003669BC"/>
    <w:rsid w:val="003674CD"/>
    <w:rsid w:val="00370445"/>
    <w:rsid w:val="0037181E"/>
    <w:rsid w:val="00371B29"/>
    <w:rsid w:val="00372182"/>
    <w:rsid w:val="003721F1"/>
    <w:rsid w:val="00373AC0"/>
    <w:rsid w:val="00373DD8"/>
    <w:rsid w:val="0037520F"/>
    <w:rsid w:val="003752DF"/>
    <w:rsid w:val="003776CF"/>
    <w:rsid w:val="00380544"/>
    <w:rsid w:val="0038200B"/>
    <w:rsid w:val="00382278"/>
    <w:rsid w:val="003829BB"/>
    <w:rsid w:val="00383187"/>
    <w:rsid w:val="00384F5C"/>
    <w:rsid w:val="003863C7"/>
    <w:rsid w:val="003866CC"/>
    <w:rsid w:val="00386FE2"/>
    <w:rsid w:val="00387804"/>
    <w:rsid w:val="00387B6A"/>
    <w:rsid w:val="00391156"/>
    <w:rsid w:val="00391769"/>
    <w:rsid w:val="0039368A"/>
    <w:rsid w:val="00393F6D"/>
    <w:rsid w:val="003953E1"/>
    <w:rsid w:val="003956B3"/>
    <w:rsid w:val="00395E3A"/>
    <w:rsid w:val="00395FF2"/>
    <w:rsid w:val="00397D96"/>
    <w:rsid w:val="003A19DC"/>
    <w:rsid w:val="003A1A5B"/>
    <w:rsid w:val="003A2381"/>
    <w:rsid w:val="003A25E8"/>
    <w:rsid w:val="003A28AA"/>
    <w:rsid w:val="003A2BB0"/>
    <w:rsid w:val="003A4B2F"/>
    <w:rsid w:val="003A4CD2"/>
    <w:rsid w:val="003A68BE"/>
    <w:rsid w:val="003A6CC3"/>
    <w:rsid w:val="003A7725"/>
    <w:rsid w:val="003A7A7F"/>
    <w:rsid w:val="003A7DB8"/>
    <w:rsid w:val="003B1AFE"/>
    <w:rsid w:val="003B2A5A"/>
    <w:rsid w:val="003B3A5D"/>
    <w:rsid w:val="003B3C9D"/>
    <w:rsid w:val="003B4449"/>
    <w:rsid w:val="003B746C"/>
    <w:rsid w:val="003B78E0"/>
    <w:rsid w:val="003C2064"/>
    <w:rsid w:val="003C2108"/>
    <w:rsid w:val="003C32AD"/>
    <w:rsid w:val="003C4969"/>
    <w:rsid w:val="003C58DB"/>
    <w:rsid w:val="003D05DA"/>
    <w:rsid w:val="003D0B9B"/>
    <w:rsid w:val="003D22D6"/>
    <w:rsid w:val="003D2B2E"/>
    <w:rsid w:val="003D4A4D"/>
    <w:rsid w:val="003D5267"/>
    <w:rsid w:val="003D5E14"/>
    <w:rsid w:val="003D7F87"/>
    <w:rsid w:val="003E1EDB"/>
    <w:rsid w:val="003E21A8"/>
    <w:rsid w:val="003E2286"/>
    <w:rsid w:val="003E41D5"/>
    <w:rsid w:val="003E46BA"/>
    <w:rsid w:val="003E4ECC"/>
    <w:rsid w:val="003E6029"/>
    <w:rsid w:val="003E6439"/>
    <w:rsid w:val="003E6B1D"/>
    <w:rsid w:val="003E7CE1"/>
    <w:rsid w:val="003E7D22"/>
    <w:rsid w:val="003F2BE9"/>
    <w:rsid w:val="003F3893"/>
    <w:rsid w:val="003F5EFB"/>
    <w:rsid w:val="003F7248"/>
    <w:rsid w:val="003F74C1"/>
    <w:rsid w:val="003F771C"/>
    <w:rsid w:val="003F786C"/>
    <w:rsid w:val="003F7D15"/>
    <w:rsid w:val="00401DF2"/>
    <w:rsid w:val="00404EA3"/>
    <w:rsid w:val="004053A0"/>
    <w:rsid w:val="00405B1A"/>
    <w:rsid w:val="00405EC4"/>
    <w:rsid w:val="004063B0"/>
    <w:rsid w:val="0040676A"/>
    <w:rsid w:val="00407241"/>
    <w:rsid w:val="0040761E"/>
    <w:rsid w:val="00407B7B"/>
    <w:rsid w:val="00407DF4"/>
    <w:rsid w:val="004105E7"/>
    <w:rsid w:val="00410C76"/>
    <w:rsid w:val="00411816"/>
    <w:rsid w:val="00411858"/>
    <w:rsid w:val="00411907"/>
    <w:rsid w:val="00411A27"/>
    <w:rsid w:val="00411EBC"/>
    <w:rsid w:val="00411ECD"/>
    <w:rsid w:val="0041276F"/>
    <w:rsid w:val="00413040"/>
    <w:rsid w:val="0041351B"/>
    <w:rsid w:val="004137C5"/>
    <w:rsid w:val="00413CA8"/>
    <w:rsid w:val="00413F3B"/>
    <w:rsid w:val="0041588A"/>
    <w:rsid w:val="00415B4E"/>
    <w:rsid w:val="004160EC"/>
    <w:rsid w:val="004163FF"/>
    <w:rsid w:val="004167D5"/>
    <w:rsid w:val="00417DE7"/>
    <w:rsid w:val="00417EE3"/>
    <w:rsid w:val="00420188"/>
    <w:rsid w:val="004207EB"/>
    <w:rsid w:val="0042226E"/>
    <w:rsid w:val="0042252A"/>
    <w:rsid w:val="004302DC"/>
    <w:rsid w:val="00431F01"/>
    <w:rsid w:val="00433D61"/>
    <w:rsid w:val="004348F7"/>
    <w:rsid w:val="004350A6"/>
    <w:rsid w:val="004353FE"/>
    <w:rsid w:val="00435FA5"/>
    <w:rsid w:val="00436B8D"/>
    <w:rsid w:val="00437276"/>
    <w:rsid w:val="004417C7"/>
    <w:rsid w:val="00445A1E"/>
    <w:rsid w:val="00446D47"/>
    <w:rsid w:val="00447E67"/>
    <w:rsid w:val="00452210"/>
    <w:rsid w:val="0045538A"/>
    <w:rsid w:val="0045556F"/>
    <w:rsid w:val="004562B8"/>
    <w:rsid w:val="004566F1"/>
    <w:rsid w:val="00456B54"/>
    <w:rsid w:val="00460119"/>
    <w:rsid w:val="00462B4E"/>
    <w:rsid w:val="00463410"/>
    <w:rsid w:val="00463EA6"/>
    <w:rsid w:val="00464643"/>
    <w:rsid w:val="004646F8"/>
    <w:rsid w:val="00464CBB"/>
    <w:rsid w:val="00464FF2"/>
    <w:rsid w:val="0046543E"/>
    <w:rsid w:val="00465753"/>
    <w:rsid w:val="0047075E"/>
    <w:rsid w:val="00470CE5"/>
    <w:rsid w:val="00472964"/>
    <w:rsid w:val="00472CC0"/>
    <w:rsid w:val="004739DC"/>
    <w:rsid w:val="00474D30"/>
    <w:rsid w:val="004757A5"/>
    <w:rsid w:val="004767BB"/>
    <w:rsid w:val="004769F2"/>
    <w:rsid w:val="004777D8"/>
    <w:rsid w:val="0048202B"/>
    <w:rsid w:val="00482032"/>
    <w:rsid w:val="004836A5"/>
    <w:rsid w:val="00483B75"/>
    <w:rsid w:val="00484998"/>
    <w:rsid w:val="00484F73"/>
    <w:rsid w:val="00486565"/>
    <w:rsid w:val="00486793"/>
    <w:rsid w:val="004905B6"/>
    <w:rsid w:val="00490D1C"/>
    <w:rsid w:val="004956CF"/>
    <w:rsid w:val="004965C7"/>
    <w:rsid w:val="0049729B"/>
    <w:rsid w:val="00497538"/>
    <w:rsid w:val="004A2037"/>
    <w:rsid w:val="004A2417"/>
    <w:rsid w:val="004A3322"/>
    <w:rsid w:val="004A3685"/>
    <w:rsid w:val="004A3796"/>
    <w:rsid w:val="004B070B"/>
    <w:rsid w:val="004B3497"/>
    <w:rsid w:val="004B460B"/>
    <w:rsid w:val="004B6873"/>
    <w:rsid w:val="004B6951"/>
    <w:rsid w:val="004B709F"/>
    <w:rsid w:val="004B7C6A"/>
    <w:rsid w:val="004C2CE7"/>
    <w:rsid w:val="004C35F1"/>
    <w:rsid w:val="004C36C0"/>
    <w:rsid w:val="004C48B2"/>
    <w:rsid w:val="004C4A3B"/>
    <w:rsid w:val="004C582E"/>
    <w:rsid w:val="004C5BD1"/>
    <w:rsid w:val="004C6424"/>
    <w:rsid w:val="004C68F9"/>
    <w:rsid w:val="004C6B8A"/>
    <w:rsid w:val="004C6F68"/>
    <w:rsid w:val="004D1241"/>
    <w:rsid w:val="004D12FA"/>
    <w:rsid w:val="004D30A6"/>
    <w:rsid w:val="004D32D7"/>
    <w:rsid w:val="004D33B0"/>
    <w:rsid w:val="004D3A23"/>
    <w:rsid w:val="004D5045"/>
    <w:rsid w:val="004D6043"/>
    <w:rsid w:val="004D60AC"/>
    <w:rsid w:val="004D6BBF"/>
    <w:rsid w:val="004D6CBE"/>
    <w:rsid w:val="004E124D"/>
    <w:rsid w:val="004E1CCF"/>
    <w:rsid w:val="004E2E67"/>
    <w:rsid w:val="004E5114"/>
    <w:rsid w:val="004F13CD"/>
    <w:rsid w:val="004F28FE"/>
    <w:rsid w:val="004F4341"/>
    <w:rsid w:val="004F43DE"/>
    <w:rsid w:val="004F4F98"/>
    <w:rsid w:val="004F59D0"/>
    <w:rsid w:val="004F69F6"/>
    <w:rsid w:val="004F6CB7"/>
    <w:rsid w:val="004F79AC"/>
    <w:rsid w:val="00501431"/>
    <w:rsid w:val="005017CF"/>
    <w:rsid w:val="00502016"/>
    <w:rsid w:val="0050503C"/>
    <w:rsid w:val="00505102"/>
    <w:rsid w:val="005058F3"/>
    <w:rsid w:val="005064A1"/>
    <w:rsid w:val="00506FA2"/>
    <w:rsid w:val="00510E78"/>
    <w:rsid w:val="00512290"/>
    <w:rsid w:val="005143CB"/>
    <w:rsid w:val="00514C33"/>
    <w:rsid w:val="005151FC"/>
    <w:rsid w:val="00515530"/>
    <w:rsid w:val="0052070D"/>
    <w:rsid w:val="005207D8"/>
    <w:rsid w:val="00521ECC"/>
    <w:rsid w:val="00521F70"/>
    <w:rsid w:val="0052213A"/>
    <w:rsid w:val="00522F45"/>
    <w:rsid w:val="0052649E"/>
    <w:rsid w:val="00526865"/>
    <w:rsid w:val="005303B9"/>
    <w:rsid w:val="00531F0B"/>
    <w:rsid w:val="0053464E"/>
    <w:rsid w:val="005358B0"/>
    <w:rsid w:val="00535EA6"/>
    <w:rsid w:val="00536B88"/>
    <w:rsid w:val="0054001D"/>
    <w:rsid w:val="00542857"/>
    <w:rsid w:val="00545BC1"/>
    <w:rsid w:val="00546088"/>
    <w:rsid w:val="0054641E"/>
    <w:rsid w:val="00547A8E"/>
    <w:rsid w:val="00547B79"/>
    <w:rsid w:val="00547ED5"/>
    <w:rsid w:val="00553247"/>
    <w:rsid w:val="005534F5"/>
    <w:rsid w:val="0055355D"/>
    <w:rsid w:val="00553969"/>
    <w:rsid w:val="005539A8"/>
    <w:rsid w:val="00554CC1"/>
    <w:rsid w:val="00554F16"/>
    <w:rsid w:val="00554FC8"/>
    <w:rsid w:val="005564F7"/>
    <w:rsid w:val="00556BAA"/>
    <w:rsid w:val="00557D2C"/>
    <w:rsid w:val="00561702"/>
    <w:rsid w:val="00562917"/>
    <w:rsid w:val="0056366A"/>
    <w:rsid w:val="00563B47"/>
    <w:rsid w:val="00564E7A"/>
    <w:rsid w:val="00565734"/>
    <w:rsid w:val="00565F09"/>
    <w:rsid w:val="00567EFC"/>
    <w:rsid w:val="005728E4"/>
    <w:rsid w:val="00581106"/>
    <w:rsid w:val="005821BA"/>
    <w:rsid w:val="005858FE"/>
    <w:rsid w:val="00586228"/>
    <w:rsid w:val="005914CC"/>
    <w:rsid w:val="00591E20"/>
    <w:rsid w:val="0059227F"/>
    <w:rsid w:val="005925B4"/>
    <w:rsid w:val="005942BF"/>
    <w:rsid w:val="0059498B"/>
    <w:rsid w:val="005954C3"/>
    <w:rsid w:val="00595A0E"/>
    <w:rsid w:val="00595F38"/>
    <w:rsid w:val="00597452"/>
    <w:rsid w:val="005A03F5"/>
    <w:rsid w:val="005A11B0"/>
    <w:rsid w:val="005A1C39"/>
    <w:rsid w:val="005A3A03"/>
    <w:rsid w:val="005A43B2"/>
    <w:rsid w:val="005A4A23"/>
    <w:rsid w:val="005A4A26"/>
    <w:rsid w:val="005A657D"/>
    <w:rsid w:val="005B01E7"/>
    <w:rsid w:val="005B3A16"/>
    <w:rsid w:val="005B4600"/>
    <w:rsid w:val="005B615C"/>
    <w:rsid w:val="005B6AF4"/>
    <w:rsid w:val="005C0291"/>
    <w:rsid w:val="005C04CB"/>
    <w:rsid w:val="005C2010"/>
    <w:rsid w:val="005C53F7"/>
    <w:rsid w:val="005C625B"/>
    <w:rsid w:val="005C6E86"/>
    <w:rsid w:val="005C71BA"/>
    <w:rsid w:val="005C7D9B"/>
    <w:rsid w:val="005D111C"/>
    <w:rsid w:val="005D16AD"/>
    <w:rsid w:val="005D17C4"/>
    <w:rsid w:val="005D2759"/>
    <w:rsid w:val="005D32B6"/>
    <w:rsid w:val="005D5367"/>
    <w:rsid w:val="005D64D2"/>
    <w:rsid w:val="005D72E1"/>
    <w:rsid w:val="005D7356"/>
    <w:rsid w:val="005E1FEB"/>
    <w:rsid w:val="005E2572"/>
    <w:rsid w:val="005E29CD"/>
    <w:rsid w:val="005E2F53"/>
    <w:rsid w:val="005E364A"/>
    <w:rsid w:val="005E3CCC"/>
    <w:rsid w:val="005E5DEA"/>
    <w:rsid w:val="005E6CE1"/>
    <w:rsid w:val="005E6E16"/>
    <w:rsid w:val="005E6EE4"/>
    <w:rsid w:val="005F07CE"/>
    <w:rsid w:val="005F1A6E"/>
    <w:rsid w:val="005F28B6"/>
    <w:rsid w:val="005F2F97"/>
    <w:rsid w:val="005F3D7D"/>
    <w:rsid w:val="005F400E"/>
    <w:rsid w:val="005F5290"/>
    <w:rsid w:val="005F53DC"/>
    <w:rsid w:val="005F590F"/>
    <w:rsid w:val="005F69F9"/>
    <w:rsid w:val="005F7342"/>
    <w:rsid w:val="006010EF"/>
    <w:rsid w:val="006011B1"/>
    <w:rsid w:val="00601F57"/>
    <w:rsid w:val="00603A08"/>
    <w:rsid w:val="0060502D"/>
    <w:rsid w:val="00605E74"/>
    <w:rsid w:val="006066BC"/>
    <w:rsid w:val="00606C88"/>
    <w:rsid w:val="0061009F"/>
    <w:rsid w:val="00610A3C"/>
    <w:rsid w:val="00614A65"/>
    <w:rsid w:val="00615431"/>
    <w:rsid w:val="00615935"/>
    <w:rsid w:val="00616AE8"/>
    <w:rsid w:val="00617027"/>
    <w:rsid w:val="0061795F"/>
    <w:rsid w:val="0062069F"/>
    <w:rsid w:val="006211CD"/>
    <w:rsid w:val="00621AFB"/>
    <w:rsid w:val="0062209C"/>
    <w:rsid w:val="00623612"/>
    <w:rsid w:val="00623FAE"/>
    <w:rsid w:val="006250E3"/>
    <w:rsid w:val="00626D82"/>
    <w:rsid w:val="00627F48"/>
    <w:rsid w:val="006318D5"/>
    <w:rsid w:val="00633ACA"/>
    <w:rsid w:val="00633D6C"/>
    <w:rsid w:val="00633F97"/>
    <w:rsid w:val="006342E0"/>
    <w:rsid w:val="006364D4"/>
    <w:rsid w:val="00636888"/>
    <w:rsid w:val="006368CB"/>
    <w:rsid w:val="0063733D"/>
    <w:rsid w:val="00637FF7"/>
    <w:rsid w:val="006409F4"/>
    <w:rsid w:val="00640CE2"/>
    <w:rsid w:val="00640F88"/>
    <w:rsid w:val="006418AE"/>
    <w:rsid w:val="006419B1"/>
    <w:rsid w:val="00642A47"/>
    <w:rsid w:val="00642CE8"/>
    <w:rsid w:val="00643DF2"/>
    <w:rsid w:val="00644B09"/>
    <w:rsid w:val="00645053"/>
    <w:rsid w:val="00645075"/>
    <w:rsid w:val="00646FDD"/>
    <w:rsid w:val="00647C95"/>
    <w:rsid w:val="00651A68"/>
    <w:rsid w:val="0065275A"/>
    <w:rsid w:val="006532EF"/>
    <w:rsid w:val="00655EC5"/>
    <w:rsid w:val="00656CC8"/>
    <w:rsid w:val="00657185"/>
    <w:rsid w:val="006600A0"/>
    <w:rsid w:val="0066017D"/>
    <w:rsid w:val="006607ED"/>
    <w:rsid w:val="006612BD"/>
    <w:rsid w:val="006618A7"/>
    <w:rsid w:val="006620B0"/>
    <w:rsid w:val="006629FA"/>
    <w:rsid w:val="00663FCF"/>
    <w:rsid w:val="00664E34"/>
    <w:rsid w:val="006652A2"/>
    <w:rsid w:val="00665484"/>
    <w:rsid w:val="00665946"/>
    <w:rsid w:val="006708D8"/>
    <w:rsid w:val="0067204E"/>
    <w:rsid w:val="00672BB5"/>
    <w:rsid w:val="00674B12"/>
    <w:rsid w:val="00675AD7"/>
    <w:rsid w:val="00676275"/>
    <w:rsid w:val="00676549"/>
    <w:rsid w:val="0067780D"/>
    <w:rsid w:val="00680EAB"/>
    <w:rsid w:val="00681754"/>
    <w:rsid w:val="00681958"/>
    <w:rsid w:val="00681D53"/>
    <w:rsid w:val="00683853"/>
    <w:rsid w:val="00683E69"/>
    <w:rsid w:val="00685269"/>
    <w:rsid w:val="00686051"/>
    <w:rsid w:val="006873F0"/>
    <w:rsid w:val="0068779F"/>
    <w:rsid w:val="00692494"/>
    <w:rsid w:val="0069341F"/>
    <w:rsid w:val="006937FF"/>
    <w:rsid w:val="00693CC3"/>
    <w:rsid w:val="00694B0A"/>
    <w:rsid w:val="00694E6C"/>
    <w:rsid w:val="006951B2"/>
    <w:rsid w:val="00695D27"/>
    <w:rsid w:val="006965BF"/>
    <w:rsid w:val="00697977"/>
    <w:rsid w:val="006A0E59"/>
    <w:rsid w:val="006A1D0A"/>
    <w:rsid w:val="006A38F0"/>
    <w:rsid w:val="006A4129"/>
    <w:rsid w:val="006A48A7"/>
    <w:rsid w:val="006A6B8C"/>
    <w:rsid w:val="006A7A4E"/>
    <w:rsid w:val="006B02AD"/>
    <w:rsid w:val="006B07E5"/>
    <w:rsid w:val="006B1089"/>
    <w:rsid w:val="006B14E9"/>
    <w:rsid w:val="006B213A"/>
    <w:rsid w:val="006B2B2D"/>
    <w:rsid w:val="006B4034"/>
    <w:rsid w:val="006B4BA1"/>
    <w:rsid w:val="006B5A34"/>
    <w:rsid w:val="006B5DA5"/>
    <w:rsid w:val="006B671C"/>
    <w:rsid w:val="006B72F0"/>
    <w:rsid w:val="006B74D5"/>
    <w:rsid w:val="006B776A"/>
    <w:rsid w:val="006C28E2"/>
    <w:rsid w:val="006C4353"/>
    <w:rsid w:val="006C48AA"/>
    <w:rsid w:val="006C4CD1"/>
    <w:rsid w:val="006C509F"/>
    <w:rsid w:val="006C5C60"/>
    <w:rsid w:val="006C5CF5"/>
    <w:rsid w:val="006C5F64"/>
    <w:rsid w:val="006C718C"/>
    <w:rsid w:val="006D20B3"/>
    <w:rsid w:val="006D243A"/>
    <w:rsid w:val="006D2A47"/>
    <w:rsid w:val="006D2DB3"/>
    <w:rsid w:val="006D5C7E"/>
    <w:rsid w:val="006D61C9"/>
    <w:rsid w:val="006D6EB9"/>
    <w:rsid w:val="006D70BE"/>
    <w:rsid w:val="006D746E"/>
    <w:rsid w:val="006E527D"/>
    <w:rsid w:val="006E72FA"/>
    <w:rsid w:val="006E7772"/>
    <w:rsid w:val="006F17A0"/>
    <w:rsid w:val="006F2D87"/>
    <w:rsid w:val="006F4A82"/>
    <w:rsid w:val="006F564A"/>
    <w:rsid w:val="00700239"/>
    <w:rsid w:val="00700283"/>
    <w:rsid w:val="00700A6B"/>
    <w:rsid w:val="007019BC"/>
    <w:rsid w:val="00702DA0"/>
    <w:rsid w:val="00703415"/>
    <w:rsid w:val="0070373B"/>
    <w:rsid w:val="00704687"/>
    <w:rsid w:val="00704E75"/>
    <w:rsid w:val="00707E72"/>
    <w:rsid w:val="00707EDC"/>
    <w:rsid w:val="00710232"/>
    <w:rsid w:val="007113EB"/>
    <w:rsid w:val="0071247F"/>
    <w:rsid w:val="00713194"/>
    <w:rsid w:val="00713988"/>
    <w:rsid w:val="007164AF"/>
    <w:rsid w:val="0072150F"/>
    <w:rsid w:val="0072164B"/>
    <w:rsid w:val="007225BC"/>
    <w:rsid w:val="00722637"/>
    <w:rsid w:val="00724FA4"/>
    <w:rsid w:val="007262C6"/>
    <w:rsid w:val="00726C2F"/>
    <w:rsid w:val="007279A6"/>
    <w:rsid w:val="00730800"/>
    <w:rsid w:val="00730D40"/>
    <w:rsid w:val="00732D07"/>
    <w:rsid w:val="00734E13"/>
    <w:rsid w:val="007368AB"/>
    <w:rsid w:val="00737508"/>
    <w:rsid w:val="00737902"/>
    <w:rsid w:val="00741EFE"/>
    <w:rsid w:val="00743602"/>
    <w:rsid w:val="007439C4"/>
    <w:rsid w:val="007444F1"/>
    <w:rsid w:val="00747C5E"/>
    <w:rsid w:val="0075773B"/>
    <w:rsid w:val="007602AA"/>
    <w:rsid w:val="00760803"/>
    <w:rsid w:val="00760A12"/>
    <w:rsid w:val="00762DB8"/>
    <w:rsid w:val="00762DD6"/>
    <w:rsid w:val="0076464C"/>
    <w:rsid w:val="007647A8"/>
    <w:rsid w:val="00764D33"/>
    <w:rsid w:val="007651AD"/>
    <w:rsid w:val="007652EF"/>
    <w:rsid w:val="0076671D"/>
    <w:rsid w:val="00766FEE"/>
    <w:rsid w:val="0076765F"/>
    <w:rsid w:val="0077094E"/>
    <w:rsid w:val="00772BDC"/>
    <w:rsid w:val="00773033"/>
    <w:rsid w:val="0077462E"/>
    <w:rsid w:val="00774945"/>
    <w:rsid w:val="00774C60"/>
    <w:rsid w:val="007754DB"/>
    <w:rsid w:val="007759A3"/>
    <w:rsid w:val="00775DAC"/>
    <w:rsid w:val="00777A35"/>
    <w:rsid w:val="00777CFC"/>
    <w:rsid w:val="007805C2"/>
    <w:rsid w:val="00780792"/>
    <w:rsid w:val="00781587"/>
    <w:rsid w:val="007820DD"/>
    <w:rsid w:val="00786E68"/>
    <w:rsid w:val="007870CA"/>
    <w:rsid w:val="007904DD"/>
    <w:rsid w:val="00791286"/>
    <w:rsid w:val="00792BB6"/>
    <w:rsid w:val="007948D8"/>
    <w:rsid w:val="0079544C"/>
    <w:rsid w:val="00795DA1"/>
    <w:rsid w:val="00797E76"/>
    <w:rsid w:val="007A008A"/>
    <w:rsid w:val="007A0A94"/>
    <w:rsid w:val="007A11CA"/>
    <w:rsid w:val="007A3348"/>
    <w:rsid w:val="007A44B4"/>
    <w:rsid w:val="007A45CF"/>
    <w:rsid w:val="007A4782"/>
    <w:rsid w:val="007A5211"/>
    <w:rsid w:val="007A7D3D"/>
    <w:rsid w:val="007B0067"/>
    <w:rsid w:val="007B12B8"/>
    <w:rsid w:val="007B17F3"/>
    <w:rsid w:val="007B225D"/>
    <w:rsid w:val="007B6F31"/>
    <w:rsid w:val="007C1367"/>
    <w:rsid w:val="007C174F"/>
    <w:rsid w:val="007C1C64"/>
    <w:rsid w:val="007C25DB"/>
    <w:rsid w:val="007C2774"/>
    <w:rsid w:val="007C2DC4"/>
    <w:rsid w:val="007C2EEA"/>
    <w:rsid w:val="007C3403"/>
    <w:rsid w:val="007C6EE2"/>
    <w:rsid w:val="007C7379"/>
    <w:rsid w:val="007C7B66"/>
    <w:rsid w:val="007D25E5"/>
    <w:rsid w:val="007D3200"/>
    <w:rsid w:val="007D40A1"/>
    <w:rsid w:val="007D45D7"/>
    <w:rsid w:val="007D59B4"/>
    <w:rsid w:val="007D630E"/>
    <w:rsid w:val="007D63C8"/>
    <w:rsid w:val="007D69EF"/>
    <w:rsid w:val="007E091B"/>
    <w:rsid w:val="007E31B2"/>
    <w:rsid w:val="007E48BC"/>
    <w:rsid w:val="007E79F7"/>
    <w:rsid w:val="007E7A6E"/>
    <w:rsid w:val="007F0117"/>
    <w:rsid w:val="007F0A4E"/>
    <w:rsid w:val="007F0C13"/>
    <w:rsid w:val="007F3630"/>
    <w:rsid w:val="007F3B48"/>
    <w:rsid w:val="007F40D9"/>
    <w:rsid w:val="007F4383"/>
    <w:rsid w:val="007F4DF4"/>
    <w:rsid w:val="007F6556"/>
    <w:rsid w:val="007F6BAE"/>
    <w:rsid w:val="007F7BCF"/>
    <w:rsid w:val="007F7C12"/>
    <w:rsid w:val="007F7F59"/>
    <w:rsid w:val="00800C0A"/>
    <w:rsid w:val="008022D9"/>
    <w:rsid w:val="0080314F"/>
    <w:rsid w:val="0080341F"/>
    <w:rsid w:val="00805338"/>
    <w:rsid w:val="00805353"/>
    <w:rsid w:val="008068C6"/>
    <w:rsid w:val="008069DA"/>
    <w:rsid w:val="008074B8"/>
    <w:rsid w:val="00807559"/>
    <w:rsid w:val="008116C4"/>
    <w:rsid w:val="00811B71"/>
    <w:rsid w:val="00812DBB"/>
    <w:rsid w:val="00812E27"/>
    <w:rsid w:val="008133EA"/>
    <w:rsid w:val="00813679"/>
    <w:rsid w:val="0081369C"/>
    <w:rsid w:val="0081389C"/>
    <w:rsid w:val="00814F7B"/>
    <w:rsid w:val="00815F33"/>
    <w:rsid w:val="0081753B"/>
    <w:rsid w:val="00817B91"/>
    <w:rsid w:val="00820483"/>
    <w:rsid w:val="00820535"/>
    <w:rsid w:val="00820C30"/>
    <w:rsid w:val="008228D9"/>
    <w:rsid w:val="00822A95"/>
    <w:rsid w:val="00822F06"/>
    <w:rsid w:val="008232CF"/>
    <w:rsid w:val="0082338B"/>
    <w:rsid w:val="0082391C"/>
    <w:rsid w:val="0082622C"/>
    <w:rsid w:val="008264AD"/>
    <w:rsid w:val="008265F6"/>
    <w:rsid w:val="008266F0"/>
    <w:rsid w:val="0082786B"/>
    <w:rsid w:val="00827BC8"/>
    <w:rsid w:val="00831130"/>
    <w:rsid w:val="00832331"/>
    <w:rsid w:val="008328CB"/>
    <w:rsid w:val="00832AAA"/>
    <w:rsid w:val="00833686"/>
    <w:rsid w:val="0084068D"/>
    <w:rsid w:val="00841DC7"/>
    <w:rsid w:val="00843458"/>
    <w:rsid w:val="00843EEF"/>
    <w:rsid w:val="008450BC"/>
    <w:rsid w:val="00845C15"/>
    <w:rsid w:val="008478AF"/>
    <w:rsid w:val="00851A60"/>
    <w:rsid w:val="0085334B"/>
    <w:rsid w:val="00853C45"/>
    <w:rsid w:val="00854204"/>
    <w:rsid w:val="008546F2"/>
    <w:rsid w:val="008555E5"/>
    <w:rsid w:val="0086029B"/>
    <w:rsid w:val="00863727"/>
    <w:rsid w:val="008657C8"/>
    <w:rsid w:val="00866375"/>
    <w:rsid w:val="00866A93"/>
    <w:rsid w:val="0086713E"/>
    <w:rsid w:val="00867B23"/>
    <w:rsid w:val="00870214"/>
    <w:rsid w:val="008703E7"/>
    <w:rsid w:val="008707F0"/>
    <w:rsid w:val="00871076"/>
    <w:rsid w:val="0087133F"/>
    <w:rsid w:val="00871E63"/>
    <w:rsid w:val="00873099"/>
    <w:rsid w:val="00875668"/>
    <w:rsid w:val="008757E3"/>
    <w:rsid w:val="00876264"/>
    <w:rsid w:val="00876515"/>
    <w:rsid w:val="00876E1D"/>
    <w:rsid w:val="00877DDA"/>
    <w:rsid w:val="0088052F"/>
    <w:rsid w:val="00880807"/>
    <w:rsid w:val="00881A68"/>
    <w:rsid w:val="00881D28"/>
    <w:rsid w:val="0088274C"/>
    <w:rsid w:val="008828D9"/>
    <w:rsid w:val="00882F84"/>
    <w:rsid w:val="00883421"/>
    <w:rsid w:val="00884A0F"/>
    <w:rsid w:val="00885C51"/>
    <w:rsid w:val="00885EB0"/>
    <w:rsid w:val="008878FD"/>
    <w:rsid w:val="00890E63"/>
    <w:rsid w:val="00891811"/>
    <w:rsid w:val="0089264A"/>
    <w:rsid w:val="00892C27"/>
    <w:rsid w:val="0089571A"/>
    <w:rsid w:val="00895E87"/>
    <w:rsid w:val="00896782"/>
    <w:rsid w:val="00896B85"/>
    <w:rsid w:val="00896BBF"/>
    <w:rsid w:val="00897554"/>
    <w:rsid w:val="00897B1A"/>
    <w:rsid w:val="008A04F3"/>
    <w:rsid w:val="008A0BB2"/>
    <w:rsid w:val="008A22BE"/>
    <w:rsid w:val="008A27F5"/>
    <w:rsid w:val="008A3221"/>
    <w:rsid w:val="008A35FB"/>
    <w:rsid w:val="008A4308"/>
    <w:rsid w:val="008A50DE"/>
    <w:rsid w:val="008A5EA5"/>
    <w:rsid w:val="008A7E66"/>
    <w:rsid w:val="008B0075"/>
    <w:rsid w:val="008B29DA"/>
    <w:rsid w:val="008B2B2C"/>
    <w:rsid w:val="008B463A"/>
    <w:rsid w:val="008B4EDD"/>
    <w:rsid w:val="008B4F73"/>
    <w:rsid w:val="008B5567"/>
    <w:rsid w:val="008B5FE8"/>
    <w:rsid w:val="008C021D"/>
    <w:rsid w:val="008C0E1F"/>
    <w:rsid w:val="008C0E7A"/>
    <w:rsid w:val="008C1B36"/>
    <w:rsid w:val="008C34CF"/>
    <w:rsid w:val="008C4F4A"/>
    <w:rsid w:val="008C5583"/>
    <w:rsid w:val="008C614A"/>
    <w:rsid w:val="008C629A"/>
    <w:rsid w:val="008D05FB"/>
    <w:rsid w:val="008D06C6"/>
    <w:rsid w:val="008D0F64"/>
    <w:rsid w:val="008D20AD"/>
    <w:rsid w:val="008D2D36"/>
    <w:rsid w:val="008D5DD7"/>
    <w:rsid w:val="008D759B"/>
    <w:rsid w:val="008E0ACE"/>
    <w:rsid w:val="008E11CE"/>
    <w:rsid w:val="008E135B"/>
    <w:rsid w:val="008E1423"/>
    <w:rsid w:val="008E3AC3"/>
    <w:rsid w:val="008E4054"/>
    <w:rsid w:val="008E44F1"/>
    <w:rsid w:val="008E6250"/>
    <w:rsid w:val="008E626E"/>
    <w:rsid w:val="008E6A79"/>
    <w:rsid w:val="008F28E7"/>
    <w:rsid w:val="008F3016"/>
    <w:rsid w:val="008F39B8"/>
    <w:rsid w:val="008F7C79"/>
    <w:rsid w:val="00901EF6"/>
    <w:rsid w:val="00901FA0"/>
    <w:rsid w:val="009025F3"/>
    <w:rsid w:val="00902AF6"/>
    <w:rsid w:val="009030A1"/>
    <w:rsid w:val="00906194"/>
    <w:rsid w:val="00906E23"/>
    <w:rsid w:val="00906E8E"/>
    <w:rsid w:val="00907E21"/>
    <w:rsid w:val="00913DAA"/>
    <w:rsid w:val="00914030"/>
    <w:rsid w:val="0091501D"/>
    <w:rsid w:val="0091528F"/>
    <w:rsid w:val="009153C1"/>
    <w:rsid w:val="00915506"/>
    <w:rsid w:val="00915B1B"/>
    <w:rsid w:val="00916459"/>
    <w:rsid w:val="00920249"/>
    <w:rsid w:val="00920C4B"/>
    <w:rsid w:val="00921793"/>
    <w:rsid w:val="00921D43"/>
    <w:rsid w:val="00922D47"/>
    <w:rsid w:val="009246C9"/>
    <w:rsid w:val="00924C27"/>
    <w:rsid w:val="00924C80"/>
    <w:rsid w:val="00925060"/>
    <w:rsid w:val="009319F9"/>
    <w:rsid w:val="00932F14"/>
    <w:rsid w:val="00934055"/>
    <w:rsid w:val="009350A5"/>
    <w:rsid w:val="00935DE3"/>
    <w:rsid w:val="009360FE"/>
    <w:rsid w:val="00936409"/>
    <w:rsid w:val="0094247F"/>
    <w:rsid w:val="00942818"/>
    <w:rsid w:val="00942D60"/>
    <w:rsid w:val="00942E12"/>
    <w:rsid w:val="00943FFD"/>
    <w:rsid w:val="00944429"/>
    <w:rsid w:val="00944BA4"/>
    <w:rsid w:val="00944F1E"/>
    <w:rsid w:val="00945803"/>
    <w:rsid w:val="00947F8F"/>
    <w:rsid w:val="009527CD"/>
    <w:rsid w:val="00952BAB"/>
    <w:rsid w:val="0095314B"/>
    <w:rsid w:val="009547C8"/>
    <w:rsid w:val="00954A6F"/>
    <w:rsid w:val="00954DB1"/>
    <w:rsid w:val="00960EA1"/>
    <w:rsid w:val="0096523B"/>
    <w:rsid w:val="00965ECB"/>
    <w:rsid w:val="009661CB"/>
    <w:rsid w:val="0096627E"/>
    <w:rsid w:val="00966990"/>
    <w:rsid w:val="00966EE3"/>
    <w:rsid w:val="00967212"/>
    <w:rsid w:val="00972D06"/>
    <w:rsid w:val="009740E9"/>
    <w:rsid w:val="009757FE"/>
    <w:rsid w:val="0097655B"/>
    <w:rsid w:val="00977FC5"/>
    <w:rsid w:val="009800AE"/>
    <w:rsid w:val="00980919"/>
    <w:rsid w:val="009816DE"/>
    <w:rsid w:val="00981CAC"/>
    <w:rsid w:val="00982B54"/>
    <w:rsid w:val="00987C5A"/>
    <w:rsid w:val="009907C7"/>
    <w:rsid w:val="00990FF6"/>
    <w:rsid w:val="00991541"/>
    <w:rsid w:val="00991CD5"/>
    <w:rsid w:val="009936D0"/>
    <w:rsid w:val="00993CF4"/>
    <w:rsid w:val="00994665"/>
    <w:rsid w:val="009960DE"/>
    <w:rsid w:val="009969B9"/>
    <w:rsid w:val="00996F0B"/>
    <w:rsid w:val="009A207E"/>
    <w:rsid w:val="009A3141"/>
    <w:rsid w:val="009A31F3"/>
    <w:rsid w:val="009A391C"/>
    <w:rsid w:val="009A4C91"/>
    <w:rsid w:val="009A50F2"/>
    <w:rsid w:val="009B187A"/>
    <w:rsid w:val="009B1E5F"/>
    <w:rsid w:val="009B392C"/>
    <w:rsid w:val="009B517B"/>
    <w:rsid w:val="009B5686"/>
    <w:rsid w:val="009B7549"/>
    <w:rsid w:val="009C1A42"/>
    <w:rsid w:val="009C2CA1"/>
    <w:rsid w:val="009C2F97"/>
    <w:rsid w:val="009C315E"/>
    <w:rsid w:val="009C37A7"/>
    <w:rsid w:val="009C4322"/>
    <w:rsid w:val="009C43F8"/>
    <w:rsid w:val="009C5197"/>
    <w:rsid w:val="009C74EC"/>
    <w:rsid w:val="009C79F0"/>
    <w:rsid w:val="009D09B2"/>
    <w:rsid w:val="009D0ABC"/>
    <w:rsid w:val="009D24CF"/>
    <w:rsid w:val="009D27B1"/>
    <w:rsid w:val="009D2997"/>
    <w:rsid w:val="009D2B1C"/>
    <w:rsid w:val="009D3B17"/>
    <w:rsid w:val="009D3DB3"/>
    <w:rsid w:val="009D519E"/>
    <w:rsid w:val="009D5E8C"/>
    <w:rsid w:val="009D6480"/>
    <w:rsid w:val="009D7549"/>
    <w:rsid w:val="009D756C"/>
    <w:rsid w:val="009D75A6"/>
    <w:rsid w:val="009D768B"/>
    <w:rsid w:val="009D7839"/>
    <w:rsid w:val="009D790B"/>
    <w:rsid w:val="009E0A61"/>
    <w:rsid w:val="009E1AB1"/>
    <w:rsid w:val="009E1B8F"/>
    <w:rsid w:val="009E3010"/>
    <w:rsid w:val="009E3B35"/>
    <w:rsid w:val="009E4D98"/>
    <w:rsid w:val="009E5A18"/>
    <w:rsid w:val="009E6FBE"/>
    <w:rsid w:val="009E7147"/>
    <w:rsid w:val="009E77D4"/>
    <w:rsid w:val="009F007E"/>
    <w:rsid w:val="009F1342"/>
    <w:rsid w:val="009F1BCF"/>
    <w:rsid w:val="009F2734"/>
    <w:rsid w:val="009F316A"/>
    <w:rsid w:val="009F5D1C"/>
    <w:rsid w:val="009F657C"/>
    <w:rsid w:val="009F7065"/>
    <w:rsid w:val="009F7444"/>
    <w:rsid w:val="009F7564"/>
    <w:rsid w:val="00A007A2"/>
    <w:rsid w:val="00A0267B"/>
    <w:rsid w:val="00A0378B"/>
    <w:rsid w:val="00A078AE"/>
    <w:rsid w:val="00A07ADA"/>
    <w:rsid w:val="00A10CC2"/>
    <w:rsid w:val="00A12B44"/>
    <w:rsid w:val="00A1313E"/>
    <w:rsid w:val="00A13213"/>
    <w:rsid w:val="00A136C9"/>
    <w:rsid w:val="00A17E0F"/>
    <w:rsid w:val="00A209B1"/>
    <w:rsid w:val="00A20BDA"/>
    <w:rsid w:val="00A2293B"/>
    <w:rsid w:val="00A22C0B"/>
    <w:rsid w:val="00A237C2"/>
    <w:rsid w:val="00A23AD0"/>
    <w:rsid w:val="00A23B2F"/>
    <w:rsid w:val="00A261A4"/>
    <w:rsid w:val="00A26756"/>
    <w:rsid w:val="00A27226"/>
    <w:rsid w:val="00A30C40"/>
    <w:rsid w:val="00A30DD1"/>
    <w:rsid w:val="00A32539"/>
    <w:rsid w:val="00A32D33"/>
    <w:rsid w:val="00A34485"/>
    <w:rsid w:val="00A35394"/>
    <w:rsid w:val="00A370D8"/>
    <w:rsid w:val="00A40193"/>
    <w:rsid w:val="00A40EBB"/>
    <w:rsid w:val="00A4175D"/>
    <w:rsid w:val="00A42F1A"/>
    <w:rsid w:val="00A44713"/>
    <w:rsid w:val="00A454A0"/>
    <w:rsid w:val="00A4649B"/>
    <w:rsid w:val="00A479D9"/>
    <w:rsid w:val="00A51339"/>
    <w:rsid w:val="00A5141C"/>
    <w:rsid w:val="00A51A06"/>
    <w:rsid w:val="00A5340C"/>
    <w:rsid w:val="00A534F9"/>
    <w:rsid w:val="00A543F7"/>
    <w:rsid w:val="00A54934"/>
    <w:rsid w:val="00A54BB2"/>
    <w:rsid w:val="00A54CAC"/>
    <w:rsid w:val="00A54FF1"/>
    <w:rsid w:val="00A56204"/>
    <w:rsid w:val="00A56472"/>
    <w:rsid w:val="00A56DC7"/>
    <w:rsid w:val="00A56E34"/>
    <w:rsid w:val="00A60E92"/>
    <w:rsid w:val="00A62D03"/>
    <w:rsid w:val="00A66609"/>
    <w:rsid w:val="00A67773"/>
    <w:rsid w:val="00A67D26"/>
    <w:rsid w:val="00A72563"/>
    <w:rsid w:val="00A7430F"/>
    <w:rsid w:val="00A74F19"/>
    <w:rsid w:val="00A74FD1"/>
    <w:rsid w:val="00A76F40"/>
    <w:rsid w:val="00A7791F"/>
    <w:rsid w:val="00A802D6"/>
    <w:rsid w:val="00A81520"/>
    <w:rsid w:val="00A81FAB"/>
    <w:rsid w:val="00A82018"/>
    <w:rsid w:val="00A84A58"/>
    <w:rsid w:val="00A85E0B"/>
    <w:rsid w:val="00A86E19"/>
    <w:rsid w:val="00A8706C"/>
    <w:rsid w:val="00A874EC"/>
    <w:rsid w:val="00A91DF1"/>
    <w:rsid w:val="00A92BEF"/>
    <w:rsid w:val="00A93639"/>
    <w:rsid w:val="00A94B4E"/>
    <w:rsid w:val="00A9695A"/>
    <w:rsid w:val="00A97129"/>
    <w:rsid w:val="00AA0060"/>
    <w:rsid w:val="00AA0887"/>
    <w:rsid w:val="00AA16AE"/>
    <w:rsid w:val="00AA204E"/>
    <w:rsid w:val="00AA2C94"/>
    <w:rsid w:val="00AA3429"/>
    <w:rsid w:val="00AA3D38"/>
    <w:rsid w:val="00AA4F29"/>
    <w:rsid w:val="00AA6E24"/>
    <w:rsid w:val="00AA7697"/>
    <w:rsid w:val="00AB0275"/>
    <w:rsid w:val="00AB0505"/>
    <w:rsid w:val="00AB19F7"/>
    <w:rsid w:val="00AB3814"/>
    <w:rsid w:val="00AB4E54"/>
    <w:rsid w:val="00AB59AF"/>
    <w:rsid w:val="00AB6C33"/>
    <w:rsid w:val="00AC0409"/>
    <w:rsid w:val="00AC3B35"/>
    <w:rsid w:val="00AC4A08"/>
    <w:rsid w:val="00AC6471"/>
    <w:rsid w:val="00AC74CB"/>
    <w:rsid w:val="00AC74DD"/>
    <w:rsid w:val="00AD0041"/>
    <w:rsid w:val="00AD22F9"/>
    <w:rsid w:val="00AD23C5"/>
    <w:rsid w:val="00AD2524"/>
    <w:rsid w:val="00AD26BE"/>
    <w:rsid w:val="00AD27BD"/>
    <w:rsid w:val="00AD7A3D"/>
    <w:rsid w:val="00AE2155"/>
    <w:rsid w:val="00AE2A64"/>
    <w:rsid w:val="00AE4E6E"/>
    <w:rsid w:val="00AE5DD8"/>
    <w:rsid w:val="00AE68EA"/>
    <w:rsid w:val="00AE6FDC"/>
    <w:rsid w:val="00AE7028"/>
    <w:rsid w:val="00AE766D"/>
    <w:rsid w:val="00AE76ED"/>
    <w:rsid w:val="00AF06FC"/>
    <w:rsid w:val="00AF173D"/>
    <w:rsid w:val="00AF224D"/>
    <w:rsid w:val="00AF2D1A"/>
    <w:rsid w:val="00AF3391"/>
    <w:rsid w:val="00AF370C"/>
    <w:rsid w:val="00AF387F"/>
    <w:rsid w:val="00AF481D"/>
    <w:rsid w:val="00AF602C"/>
    <w:rsid w:val="00AF7665"/>
    <w:rsid w:val="00B00E7F"/>
    <w:rsid w:val="00B028C6"/>
    <w:rsid w:val="00B02CAB"/>
    <w:rsid w:val="00B06101"/>
    <w:rsid w:val="00B076A9"/>
    <w:rsid w:val="00B078C8"/>
    <w:rsid w:val="00B1060F"/>
    <w:rsid w:val="00B1097D"/>
    <w:rsid w:val="00B10A4C"/>
    <w:rsid w:val="00B115D4"/>
    <w:rsid w:val="00B117A3"/>
    <w:rsid w:val="00B12745"/>
    <w:rsid w:val="00B13B2E"/>
    <w:rsid w:val="00B14F2E"/>
    <w:rsid w:val="00B1514F"/>
    <w:rsid w:val="00B16AA6"/>
    <w:rsid w:val="00B17170"/>
    <w:rsid w:val="00B173DA"/>
    <w:rsid w:val="00B17DE3"/>
    <w:rsid w:val="00B2150A"/>
    <w:rsid w:val="00B21DCC"/>
    <w:rsid w:val="00B223CA"/>
    <w:rsid w:val="00B2247A"/>
    <w:rsid w:val="00B25F37"/>
    <w:rsid w:val="00B27334"/>
    <w:rsid w:val="00B31D74"/>
    <w:rsid w:val="00B3397E"/>
    <w:rsid w:val="00B36A25"/>
    <w:rsid w:val="00B402AA"/>
    <w:rsid w:val="00B43F63"/>
    <w:rsid w:val="00B44107"/>
    <w:rsid w:val="00B44422"/>
    <w:rsid w:val="00B45F76"/>
    <w:rsid w:val="00B466DD"/>
    <w:rsid w:val="00B467D8"/>
    <w:rsid w:val="00B46B7A"/>
    <w:rsid w:val="00B46EA0"/>
    <w:rsid w:val="00B4783D"/>
    <w:rsid w:val="00B5114A"/>
    <w:rsid w:val="00B51E03"/>
    <w:rsid w:val="00B5240E"/>
    <w:rsid w:val="00B55C98"/>
    <w:rsid w:val="00B57937"/>
    <w:rsid w:val="00B630B6"/>
    <w:rsid w:val="00B63A3A"/>
    <w:rsid w:val="00B654DB"/>
    <w:rsid w:val="00B65710"/>
    <w:rsid w:val="00B65955"/>
    <w:rsid w:val="00B65A74"/>
    <w:rsid w:val="00B65B04"/>
    <w:rsid w:val="00B6696E"/>
    <w:rsid w:val="00B702EC"/>
    <w:rsid w:val="00B70F8B"/>
    <w:rsid w:val="00B71181"/>
    <w:rsid w:val="00B71F51"/>
    <w:rsid w:val="00B72704"/>
    <w:rsid w:val="00B731D3"/>
    <w:rsid w:val="00B73FD8"/>
    <w:rsid w:val="00B74339"/>
    <w:rsid w:val="00B74BDF"/>
    <w:rsid w:val="00B77787"/>
    <w:rsid w:val="00B801EE"/>
    <w:rsid w:val="00B8069A"/>
    <w:rsid w:val="00B80892"/>
    <w:rsid w:val="00B81391"/>
    <w:rsid w:val="00B81BFE"/>
    <w:rsid w:val="00B8395E"/>
    <w:rsid w:val="00B83980"/>
    <w:rsid w:val="00B839A3"/>
    <w:rsid w:val="00B853D2"/>
    <w:rsid w:val="00B87049"/>
    <w:rsid w:val="00B902BD"/>
    <w:rsid w:val="00B9058B"/>
    <w:rsid w:val="00B92CBE"/>
    <w:rsid w:val="00B9317B"/>
    <w:rsid w:val="00B9416B"/>
    <w:rsid w:val="00B9477A"/>
    <w:rsid w:val="00B94D2A"/>
    <w:rsid w:val="00B9694C"/>
    <w:rsid w:val="00BA011E"/>
    <w:rsid w:val="00BA09FB"/>
    <w:rsid w:val="00BA0B80"/>
    <w:rsid w:val="00BA24E2"/>
    <w:rsid w:val="00BA76B9"/>
    <w:rsid w:val="00BB1948"/>
    <w:rsid w:val="00BB1E70"/>
    <w:rsid w:val="00BB3E05"/>
    <w:rsid w:val="00BB450C"/>
    <w:rsid w:val="00BB5930"/>
    <w:rsid w:val="00BB6706"/>
    <w:rsid w:val="00BC1ADA"/>
    <w:rsid w:val="00BC1FA6"/>
    <w:rsid w:val="00BC39CD"/>
    <w:rsid w:val="00BC5738"/>
    <w:rsid w:val="00BC7D66"/>
    <w:rsid w:val="00BD0462"/>
    <w:rsid w:val="00BD04F4"/>
    <w:rsid w:val="00BD14D7"/>
    <w:rsid w:val="00BD1783"/>
    <w:rsid w:val="00BD1D26"/>
    <w:rsid w:val="00BD2A39"/>
    <w:rsid w:val="00BD2E80"/>
    <w:rsid w:val="00BD36E1"/>
    <w:rsid w:val="00BD60C3"/>
    <w:rsid w:val="00BE036D"/>
    <w:rsid w:val="00BE05E9"/>
    <w:rsid w:val="00BE11B8"/>
    <w:rsid w:val="00BE34B9"/>
    <w:rsid w:val="00BE3818"/>
    <w:rsid w:val="00BE491E"/>
    <w:rsid w:val="00BE75A5"/>
    <w:rsid w:val="00BF20E1"/>
    <w:rsid w:val="00BF3A0A"/>
    <w:rsid w:val="00BF44DB"/>
    <w:rsid w:val="00BF507D"/>
    <w:rsid w:val="00BF51AB"/>
    <w:rsid w:val="00BF5743"/>
    <w:rsid w:val="00BF7BEF"/>
    <w:rsid w:val="00BF7FF0"/>
    <w:rsid w:val="00C004A5"/>
    <w:rsid w:val="00C01893"/>
    <w:rsid w:val="00C034F4"/>
    <w:rsid w:val="00C046E5"/>
    <w:rsid w:val="00C0474B"/>
    <w:rsid w:val="00C0481A"/>
    <w:rsid w:val="00C05909"/>
    <w:rsid w:val="00C06192"/>
    <w:rsid w:val="00C06990"/>
    <w:rsid w:val="00C075DE"/>
    <w:rsid w:val="00C07E6F"/>
    <w:rsid w:val="00C11DE7"/>
    <w:rsid w:val="00C12502"/>
    <w:rsid w:val="00C1266C"/>
    <w:rsid w:val="00C13C51"/>
    <w:rsid w:val="00C13DA1"/>
    <w:rsid w:val="00C14FD2"/>
    <w:rsid w:val="00C16487"/>
    <w:rsid w:val="00C1731C"/>
    <w:rsid w:val="00C2098C"/>
    <w:rsid w:val="00C21DAE"/>
    <w:rsid w:val="00C21F6E"/>
    <w:rsid w:val="00C249D4"/>
    <w:rsid w:val="00C2636F"/>
    <w:rsid w:val="00C264E8"/>
    <w:rsid w:val="00C271E5"/>
    <w:rsid w:val="00C273EB"/>
    <w:rsid w:val="00C321A3"/>
    <w:rsid w:val="00C32593"/>
    <w:rsid w:val="00C32A82"/>
    <w:rsid w:val="00C33DF7"/>
    <w:rsid w:val="00C33F47"/>
    <w:rsid w:val="00C34B03"/>
    <w:rsid w:val="00C34F4F"/>
    <w:rsid w:val="00C36578"/>
    <w:rsid w:val="00C36B05"/>
    <w:rsid w:val="00C37084"/>
    <w:rsid w:val="00C372F3"/>
    <w:rsid w:val="00C40AA5"/>
    <w:rsid w:val="00C40AA7"/>
    <w:rsid w:val="00C416CA"/>
    <w:rsid w:val="00C41994"/>
    <w:rsid w:val="00C4263C"/>
    <w:rsid w:val="00C43000"/>
    <w:rsid w:val="00C45C9B"/>
    <w:rsid w:val="00C46F70"/>
    <w:rsid w:val="00C476D0"/>
    <w:rsid w:val="00C47D96"/>
    <w:rsid w:val="00C5038F"/>
    <w:rsid w:val="00C50444"/>
    <w:rsid w:val="00C50A42"/>
    <w:rsid w:val="00C50DF8"/>
    <w:rsid w:val="00C52EBA"/>
    <w:rsid w:val="00C54636"/>
    <w:rsid w:val="00C54AD1"/>
    <w:rsid w:val="00C56521"/>
    <w:rsid w:val="00C56F71"/>
    <w:rsid w:val="00C572DE"/>
    <w:rsid w:val="00C60BA4"/>
    <w:rsid w:val="00C62454"/>
    <w:rsid w:val="00C62B20"/>
    <w:rsid w:val="00C630D2"/>
    <w:rsid w:val="00C63580"/>
    <w:rsid w:val="00C64294"/>
    <w:rsid w:val="00C648F8"/>
    <w:rsid w:val="00C6660D"/>
    <w:rsid w:val="00C67123"/>
    <w:rsid w:val="00C67826"/>
    <w:rsid w:val="00C74DEE"/>
    <w:rsid w:val="00C753BE"/>
    <w:rsid w:val="00C80092"/>
    <w:rsid w:val="00C80E81"/>
    <w:rsid w:val="00C81934"/>
    <w:rsid w:val="00C836E3"/>
    <w:rsid w:val="00C852BD"/>
    <w:rsid w:val="00C85CE7"/>
    <w:rsid w:val="00C86577"/>
    <w:rsid w:val="00C87D15"/>
    <w:rsid w:val="00C912BC"/>
    <w:rsid w:val="00C91CEB"/>
    <w:rsid w:val="00C92D88"/>
    <w:rsid w:val="00C92E07"/>
    <w:rsid w:val="00C94222"/>
    <w:rsid w:val="00C9481F"/>
    <w:rsid w:val="00C94942"/>
    <w:rsid w:val="00C94E39"/>
    <w:rsid w:val="00C95A55"/>
    <w:rsid w:val="00C963D8"/>
    <w:rsid w:val="00C96868"/>
    <w:rsid w:val="00C96A50"/>
    <w:rsid w:val="00CA0416"/>
    <w:rsid w:val="00CA3663"/>
    <w:rsid w:val="00CA3C65"/>
    <w:rsid w:val="00CA6CBA"/>
    <w:rsid w:val="00CA7F35"/>
    <w:rsid w:val="00CB1375"/>
    <w:rsid w:val="00CB31B2"/>
    <w:rsid w:val="00CB5325"/>
    <w:rsid w:val="00CB73D9"/>
    <w:rsid w:val="00CB74A6"/>
    <w:rsid w:val="00CB78E4"/>
    <w:rsid w:val="00CB7912"/>
    <w:rsid w:val="00CC193F"/>
    <w:rsid w:val="00CC2112"/>
    <w:rsid w:val="00CC36E7"/>
    <w:rsid w:val="00CC4D67"/>
    <w:rsid w:val="00CC560B"/>
    <w:rsid w:val="00CC5F8D"/>
    <w:rsid w:val="00CC75E2"/>
    <w:rsid w:val="00CC7D68"/>
    <w:rsid w:val="00CD020B"/>
    <w:rsid w:val="00CD1322"/>
    <w:rsid w:val="00CD2805"/>
    <w:rsid w:val="00CD46EB"/>
    <w:rsid w:val="00CD4C06"/>
    <w:rsid w:val="00CD6CCB"/>
    <w:rsid w:val="00CD7EBF"/>
    <w:rsid w:val="00CE0260"/>
    <w:rsid w:val="00CE0672"/>
    <w:rsid w:val="00CE0AEB"/>
    <w:rsid w:val="00CE250F"/>
    <w:rsid w:val="00CE25C8"/>
    <w:rsid w:val="00CE5627"/>
    <w:rsid w:val="00CE56F5"/>
    <w:rsid w:val="00CE6334"/>
    <w:rsid w:val="00CE66EE"/>
    <w:rsid w:val="00CF1B73"/>
    <w:rsid w:val="00CF3B55"/>
    <w:rsid w:val="00CF40D3"/>
    <w:rsid w:val="00D00547"/>
    <w:rsid w:val="00D013C1"/>
    <w:rsid w:val="00D01A05"/>
    <w:rsid w:val="00D0200C"/>
    <w:rsid w:val="00D023D0"/>
    <w:rsid w:val="00D02809"/>
    <w:rsid w:val="00D04189"/>
    <w:rsid w:val="00D04529"/>
    <w:rsid w:val="00D045FB"/>
    <w:rsid w:val="00D04C7D"/>
    <w:rsid w:val="00D053C6"/>
    <w:rsid w:val="00D056F1"/>
    <w:rsid w:val="00D062E4"/>
    <w:rsid w:val="00D11171"/>
    <w:rsid w:val="00D11706"/>
    <w:rsid w:val="00D14405"/>
    <w:rsid w:val="00D14A6C"/>
    <w:rsid w:val="00D14F87"/>
    <w:rsid w:val="00D15449"/>
    <w:rsid w:val="00D1576C"/>
    <w:rsid w:val="00D16150"/>
    <w:rsid w:val="00D2071E"/>
    <w:rsid w:val="00D209C9"/>
    <w:rsid w:val="00D20FAA"/>
    <w:rsid w:val="00D214AC"/>
    <w:rsid w:val="00D2287D"/>
    <w:rsid w:val="00D22F3C"/>
    <w:rsid w:val="00D23DB6"/>
    <w:rsid w:val="00D23EEB"/>
    <w:rsid w:val="00D24B52"/>
    <w:rsid w:val="00D26153"/>
    <w:rsid w:val="00D26814"/>
    <w:rsid w:val="00D277EE"/>
    <w:rsid w:val="00D27C30"/>
    <w:rsid w:val="00D3000D"/>
    <w:rsid w:val="00D30EF1"/>
    <w:rsid w:val="00D3171B"/>
    <w:rsid w:val="00D33F56"/>
    <w:rsid w:val="00D34AAA"/>
    <w:rsid w:val="00D356CD"/>
    <w:rsid w:val="00D37979"/>
    <w:rsid w:val="00D41E07"/>
    <w:rsid w:val="00D42B4E"/>
    <w:rsid w:val="00D437DF"/>
    <w:rsid w:val="00D43FE6"/>
    <w:rsid w:val="00D459C8"/>
    <w:rsid w:val="00D45BBE"/>
    <w:rsid w:val="00D46157"/>
    <w:rsid w:val="00D46559"/>
    <w:rsid w:val="00D46FFA"/>
    <w:rsid w:val="00D50202"/>
    <w:rsid w:val="00D50E99"/>
    <w:rsid w:val="00D51A95"/>
    <w:rsid w:val="00D51EED"/>
    <w:rsid w:val="00D552E1"/>
    <w:rsid w:val="00D55488"/>
    <w:rsid w:val="00D55715"/>
    <w:rsid w:val="00D55C19"/>
    <w:rsid w:val="00D56244"/>
    <w:rsid w:val="00D56ADA"/>
    <w:rsid w:val="00D60174"/>
    <w:rsid w:val="00D602BC"/>
    <w:rsid w:val="00D60568"/>
    <w:rsid w:val="00D623B1"/>
    <w:rsid w:val="00D62B6E"/>
    <w:rsid w:val="00D636C1"/>
    <w:rsid w:val="00D64850"/>
    <w:rsid w:val="00D676CF"/>
    <w:rsid w:val="00D67D3C"/>
    <w:rsid w:val="00D70C7A"/>
    <w:rsid w:val="00D73931"/>
    <w:rsid w:val="00D73B99"/>
    <w:rsid w:val="00D7515D"/>
    <w:rsid w:val="00D769BF"/>
    <w:rsid w:val="00D80A3D"/>
    <w:rsid w:val="00D81D38"/>
    <w:rsid w:val="00D845D2"/>
    <w:rsid w:val="00D8470F"/>
    <w:rsid w:val="00D8471A"/>
    <w:rsid w:val="00D84831"/>
    <w:rsid w:val="00D87F20"/>
    <w:rsid w:val="00D90878"/>
    <w:rsid w:val="00D91783"/>
    <w:rsid w:val="00D91DD6"/>
    <w:rsid w:val="00D935C5"/>
    <w:rsid w:val="00D93984"/>
    <w:rsid w:val="00D964AB"/>
    <w:rsid w:val="00D96D54"/>
    <w:rsid w:val="00D97BF7"/>
    <w:rsid w:val="00DA033B"/>
    <w:rsid w:val="00DA10A8"/>
    <w:rsid w:val="00DA1707"/>
    <w:rsid w:val="00DA181B"/>
    <w:rsid w:val="00DA1D13"/>
    <w:rsid w:val="00DA301A"/>
    <w:rsid w:val="00DA43B5"/>
    <w:rsid w:val="00DA4D5A"/>
    <w:rsid w:val="00DA50EE"/>
    <w:rsid w:val="00DA637C"/>
    <w:rsid w:val="00DA77C7"/>
    <w:rsid w:val="00DB09A7"/>
    <w:rsid w:val="00DB1E08"/>
    <w:rsid w:val="00DB1E61"/>
    <w:rsid w:val="00DB2006"/>
    <w:rsid w:val="00DB2973"/>
    <w:rsid w:val="00DB2BC1"/>
    <w:rsid w:val="00DB324A"/>
    <w:rsid w:val="00DB52FF"/>
    <w:rsid w:val="00DB557D"/>
    <w:rsid w:val="00DB6557"/>
    <w:rsid w:val="00DB72E9"/>
    <w:rsid w:val="00DB7A08"/>
    <w:rsid w:val="00DB7DB4"/>
    <w:rsid w:val="00DC028E"/>
    <w:rsid w:val="00DC0C7A"/>
    <w:rsid w:val="00DC113C"/>
    <w:rsid w:val="00DC1B56"/>
    <w:rsid w:val="00DC2129"/>
    <w:rsid w:val="00DC29FD"/>
    <w:rsid w:val="00DC368A"/>
    <w:rsid w:val="00DC3AFA"/>
    <w:rsid w:val="00DC3C72"/>
    <w:rsid w:val="00DC4E0D"/>
    <w:rsid w:val="00DC5BC3"/>
    <w:rsid w:val="00DC6570"/>
    <w:rsid w:val="00DD25F4"/>
    <w:rsid w:val="00DD35D9"/>
    <w:rsid w:val="00DD3C5E"/>
    <w:rsid w:val="00DD551F"/>
    <w:rsid w:val="00DE17E0"/>
    <w:rsid w:val="00DE3568"/>
    <w:rsid w:val="00DE3925"/>
    <w:rsid w:val="00DE79D9"/>
    <w:rsid w:val="00DF22EF"/>
    <w:rsid w:val="00DF245C"/>
    <w:rsid w:val="00DF25C3"/>
    <w:rsid w:val="00DF4B56"/>
    <w:rsid w:val="00DF5167"/>
    <w:rsid w:val="00DF53FF"/>
    <w:rsid w:val="00DF5F6C"/>
    <w:rsid w:val="00DF7956"/>
    <w:rsid w:val="00E016A7"/>
    <w:rsid w:val="00E01DCE"/>
    <w:rsid w:val="00E0230E"/>
    <w:rsid w:val="00E04062"/>
    <w:rsid w:val="00E046A2"/>
    <w:rsid w:val="00E05285"/>
    <w:rsid w:val="00E05D53"/>
    <w:rsid w:val="00E063C6"/>
    <w:rsid w:val="00E07545"/>
    <w:rsid w:val="00E1099B"/>
    <w:rsid w:val="00E1135A"/>
    <w:rsid w:val="00E122A5"/>
    <w:rsid w:val="00E12761"/>
    <w:rsid w:val="00E12EE0"/>
    <w:rsid w:val="00E139F1"/>
    <w:rsid w:val="00E13D4F"/>
    <w:rsid w:val="00E175ED"/>
    <w:rsid w:val="00E17616"/>
    <w:rsid w:val="00E2003B"/>
    <w:rsid w:val="00E203C2"/>
    <w:rsid w:val="00E20A66"/>
    <w:rsid w:val="00E2116D"/>
    <w:rsid w:val="00E22C78"/>
    <w:rsid w:val="00E232F0"/>
    <w:rsid w:val="00E24DE8"/>
    <w:rsid w:val="00E257D1"/>
    <w:rsid w:val="00E273EE"/>
    <w:rsid w:val="00E276AE"/>
    <w:rsid w:val="00E279D8"/>
    <w:rsid w:val="00E27A21"/>
    <w:rsid w:val="00E319B1"/>
    <w:rsid w:val="00E338D7"/>
    <w:rsid w:val="00E33BC5"/>
    <w:rsid w:val="00E346F8"/>
    <w:rsid w:val="00E36929"/>
    <w:rsid w:val="00E4010B"/>
    <w:rsid w:val="00E40992"/>
    <w:rsid w:val="00E40C03"/>
    <w:rsid w:val="00E40ED4"/>
    <w:rsid w:val="00E413A6"/>
    <w:rsid w:val="00E449AE"/>
    <w:rsid w:val="00E44E0D"/>
    <w:rsid w:val="00E44F3E"/>
    <w:rsid w:val="00E456B7"/>
    <w:rsid w:val="00E45D10"/>
    <w:rsid w:val="00E46646"/>
    <w:rsid w:val="00E46779"/>
    <w:rsid w:val="00E520FE"/>
    <w:rsid w:val="00E53F6D"/>
    <w:rsid w:val="00E5492F"/>
    <w:rsid w:val="00E55164"/>
    <w:rsid w:val="00E578BF"/>
    <w:rsid w:val="00E60EEE"/>
    <w:rsid w:val="00E61E02"/>
    <w:rsid w:val="00E6227D"/>
    <w:rsid w:val="00E62DEF"/>
    <w:rsid w:val="00E66505"/>
    <w:rsid w:val="00E667DA"/>
    <w:rsid w:val="00E66803"/>
    <w:rsid w:val="00E70A86"/>
    <w:rsid w:val="00E7110F"/>
    <w:rsid w:val="00E72650"/>
    <w:rsid w:val="00E72A80"/>
    <w:rsid w:val="00E73AB8"/>
    <w:rsid w:val="00E74E08"/>
    <w:rsid w:val="00E75054"/>
    <w:rsid w:val="00E751D6"/>
    <w:rsid w:val="00E755E8"/>
    <w:rsid w:val="00E75CCF"/>
    <w:rsid w:val="00E777EC"/>
    <w:rsid w:val="00E80B40"/>
    <w:rsid w:val="00E80FCD"/>
    <w:rsid w:val="00E81F6E"/>
    <w:rsid w:val="00E82315"/>
    <w:rsid w:val="00E82B01"/>
    <w:rsid w:val="00E83536"/>
    <w:rsid w:val="00E83F85"/>
    <w:rsid w:val="00E8461E"/>
    <w:rsid w:val="00E86630"/>
    <w:rsid w:val="00E87201"/>
    <w:rsid w:val="00E87912"/>
    <w:rsid w:val="00E87A2A"/>
    <w:rsid w:val="00E9166C"/>
    <w:rsid w:val="00E917A1"/>
    <w:rsid w:val="00E91D37"/>
    <w:rsid w:val="00E92BE8"/>
    <w:rsid w:val="00E93869"/>
    <w:rsid w:val="00E96B52"/>
    <w:rsid w:val="00EA0071"/>
    <w:rsid w:val="00EA125C"/>
    <w:rsid w:val="00EA2A65"/>
    <w:rsid w:val="00EA3AC0"/>
    <w:rsid w:val="00EA5CE6"/>
    <w:rsid w:val="00EA7F2F"/>
    <w:rsid w:val="00EB2898"/>
    <w:rsid w:val="00EB689F"/>
    <w:rsid w:val="00EC00DE"/>
    <w:rsid w:val="00EC024E"/>
    <w:rsid w:val="00EC1EA0"/>
    <w:rsid w:val="00EC2348"/>
    <w:rsid w:val="00EC30E1"/>
    <w:rsid w:val="00EC51F8"/>
    <w:rsid w:val="00EC55D5"/>
    <w:rsid w:val="00EC5729"/>
    <w:rsid w:val="00EC57F0"/>
    <w:rsid w:val="00EC6889"/>
    <w:rsid w:val="00EC6EA1"/>
    <w:rsid w:val="00EC7165"/>
    <w:rsid w:val="00EC773D"/>
    <w:rsid w:val="00EC7B7C"/>
    <w:rsid w:val="00ED172A"/>
    <w:rsid w:val="00ED24EE"/>
    <w:rsid w:val="00ED2CA2"/>
    <w:rsid w:val="00ED3326"/>
    <w:rsid w:val="00EE0247"/>
    <w:rsid w:val="00EE0A23"/>
    <w:rsid w:val="00EE1032"/>
    <w:rsid w:val="00EE12A4"/>
    <w:rsid w:val="00EE154A"/>
    <w:rsid w:val="00EE22D6"/>
    <w:rsid w:val="00EE24E2"/>
    <w:rsid w:val="00EE3B29"/>
    <w:rsid w:val="00EE3FA3"/>
    <w:rsid w:val="00EE42F6"/>
    <w:rsid w:val="00EF3A21"/>
    <w:rsid w:val="00EF4831"/>
    <w:rsid w:val="00EF49BE"/>
    <w:rsid w:val="00EF4AFC"/>
    <w:rsid w:val="00EF51B8"/>
    <w:rsid w:val="00EF58A3"/>
    <w:rsid w:val="00EF7822"/>
    <w:rsid w:val="00F00122"/>
    <w:rsid w:val="00F00AAA"/>
    <w:rsid w:val="00F015E7"/>
    <w:rsid w:val="00F02ABE"/>
    <w:rsid w:val="00F03D8C"/>
    <w:rsid w:val="00F05AC9"/>
    <w:rsid w:val="00F05B26"/>
    <w:rsid w:val="00F05EB6"/>
    <w:rsid w:val="00F0750B"/>
    <w:rsid w:val="00F11CD0"/>
    <w:rsid w:val="00F12566"/>
    <w:rsid w:val="00F12938"/>
    <w:rsid w:val="00F13409"/>
    <w:rsid w:val="00F13EAC"/>
    <w:rsid w:val="00F14BEC"/>
    <w:rsid w:val="00F15D28"/>
    <w:rsid w:val="00F16126"/>
    <w:rsid w:val="00F16B33"/>
    <w:rsid w:val="00F20AFD"/>
    <w:rsid w:val="00F21251"/>
    <w:rsid w:val="00F225C5"/>
    <w:rsid w:val="00F2302D"/>
    <w:rsid w:val="00F23683"/>
    <w:rsid w:val="00F23DB0"/>
    <w:rsid w:val="00F24C34"/>
    <w:rsid w:val="00F256D9"/>
    <w:rsid w:val="00F2587A"/>
    <w:rsid w:val="00F25B98"/>
    <w:rsid w:val="00F26E76"/>
    <w:rsid w:val="00F27E81"/>
    <w:rsid w:val="00F300DB"/>
    <w:rsid w:val="00F30A4E"/>
    <w:rsid w:val="00F32CA5"/>
    <w:rsid w:val="00F33244"/>
    <w:rsid w:val="00F337AC"/>
    <w:rsid w:val="00F33BB8"/>
    <w:rsid w:val="00F347BF"/>
    <w:rsid w:val="00F34DDD"/>
    <w:rsid w:val="00F367E7"/>
    <w:rsid w:val="00F3715D"/>
    <w:rsid w:val="00F40319"/>
    <w:rsid w:val="00F40BED"/>
    <w:rsid w:val="00F41052"/>
    <w:rsid w:val="00F4115D"/>
    <w:rsid w:val="00F414C7"/>
    <w:rsid w:val="00F41C4C"/>
    <w:rsid w:val="00F420C8"/>
    <w:rsid w:val="00F42737"/>
    <w:rsid w:val="00F42937"/>
    <w:rsid w:val="00F42A4C"/>
    <w:rsid w:val="00F45488"/>
    <w:rsid w:val="00F5106A"/>
    <w:rsid w:val="00F52114"/>
    <w:rsid w:val="00F53B04"/>
    <w:rsid w:val="00F55678"/>
    <w:rsid w:val="00F604DE"/>
    <w:rsid w:val="00F63CE5"/>
    <w:rsid w:val="00F64653"/>
    <w:rsid w:val="00F65256"/>
    <w:rsid w:val="00F66C41"/>
    <w:rsid w:val="00F66CF3"/>
    <w:rsid w:val="00F70840"/>
    <w:rsid w:val="00F71AFA"/>
    <w:rsid w:val="00F72C10"/>
    <w:rsid w:val="00F77884"/>
    <w:rsid w:val="00F77AF7"/>
    <w:rsid w:val="00F80FA5"/>
    <w:rsid w:val="00F823F0"/>
    <w:rsid w:val="00F84D56"/>
    <w:rsid w:val="00F85195"/>
    <w:rsid w:val="00F85A77"/>
    <w:rsid w:val="00F85D0A"/>
    <w:rsid w:val="00F86DA9"/>
    <w:rsid w:val="00F86E9C"/>
    <w:rsid w:val="00F87E82"/>
    <w:rsid w:val="00F9163E"/>
    <w:rsid w:val="00F9284C"/>
    <w:rsid w:val="00F9453A"/>
    <w:rsid w:val="00FA010C"/>
    <w:rsid w:val="00FA09FF"/>
    <w:rsid w:val="00FA197E"/>
    <w:rsid w:val="00FA47EB"/>
    <w:rsid w:val="00FB1108"/>
    <w:rsid w:val="00FB1533"/>
    <w:rsid w:val="00FB1891"/>
    <w:rsid w:val="00FB3FCE"/>
    <w:rsid w:val="00FB5CD7"/>
    <w:rsid w:val="00FB6526"/>
    <w:rsid w:val="00FB67A3"/>
    <w:rsid w:val="00FB7512"/>
    <w:rsid w:val="00FC0A84"/>
    <w:rsid w:val="00FC1032"/>
    <w:rsid w:val="00FC200A"/>
    <w:rsid w:val="00FC253E"/>
    <w:rsid w:val="00FC42F5"/>
    <w:rsid w:val="00FC4A95"/>
    <w:rsid w:val="00FC75E6"/>
    <w:rsid w:val="00FD005D"/>
    <w:rsid w:val="00FD1B64"/>
    <w:rsid w:val="00FD2FBE"/>
    <w:rsid w:val="00FD321D"/>
    <w:rsid w:val="00FD3413"/>
    <w:rsid w:val="00FD3C94"/>
    <w:rsid w:val="00FD41B8"/>
    <w:rsid w:val="00FD4641"/>
    <w:rsid w:val="00FD591E"/>
    <w:rsid w:val="00FD6D4E"/>
    <w:rsid w:val="00FD7547"/>
    <w:rsid w:val="00FD759D"/>
    <w:rsid w:val="00FE38AD"/>
    <w:rsid w:val="00FE42F8"/>
    <w:rsid w:val="00FE6005"/>
    <w:rsid w:val="00FE621D"/>
    <w:rsid w:val="00FE64A7"/>
    <w:rsid w:val="00FF1078"/>
    <w:rsid w:val="00FF23A6"/>
    <w:rsid w:val="00FF3713"/>
    <w:rsid w:val="00FF5189"/>
    <w:rsid w:val="00FF5F5C"/>
    <w:rsid w:val="00FF6A5C"/>
    <w:rsid w:val="00FF6C7B"/>
    <w:rsid w:val="00FF7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BF2BA"/>
  <w15:docId w15:val="{E2F5BECF-E1B0-439D-91AD-EF65B9DA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val="en-AU"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3659D0"/>
    <w:pPr>
      <w:keepNext/>
      <w:spacing w:before="240" w:after="240"/>
      <w:ind w:left="851" w:hanging="851"/>
      <w:outlineLvl w:val="2"/>
    </w:pPr>
    <w:rPr>
      <w:b/>
      <w:bCs/>
      <w:color w:val="000000" w:themeColor="text1"/>
      <w:sz w:val="24"/>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3659D0"/>
    <w:rPr>
      <w:rFonts w:ascii="Arial" w:hAnsi="Arial"/>
      <w:b/>
      <w:bCs/>
      <w:color w:val="000000" w:themeColor="text1"/>
      <w:sz w:val="24"/>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542857"/>
    <w:pPr>
      <w:widowControl/>
      <w:numPr>
        <w:numId w:val="9"/>
      </w:numPr>
      <w:ind w:left="567" w:hanging="567"/>
    </w:pPr>
    <w:rPr>
      <w:rFonts w:cs="Arial"/>
      <w:szCs w:val="22"/>
      <w:lang w:bidi="ar-SA"/>
    </w:rPr>
  </w:style>
  <w:style w:type="character" w:customStyle="1" w:styleId="FSBullet1Char">
    <w:name w:val="FSBullet 1 Char"/>
    <w:link w:val="FSBullet1"/>
    <w:rsid w:val="00542857"/>
    <w:rPr>
      <w:rFonts w:ascii="Arial" w:hAnsi="Arial" w:cs="Arial"/>
      <w:sz w:val="22"/>
      <w:szCs w:val="22"/>
      <w:lang w:val="en-AU"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uiPriority w:val="5"/>
    <w:qFormat/>
    <w:rsid w:val="00820535"/>
    <w:rPr>
      <w:sz w:val="20"/>
      <w:szCs w:val="20"/>
    </w:rPr>
  </w:style>
  <w:style w:type="character" w:customStyle="1" w:styleId="FootnoteTextChar">
    <w:name w:val="Footnote Text Char"/>
    <w:aliases w:val="Footnotes Text Char,FSFootnotes Text Char"/>
    <w:basedOn w:val="DefaultParagraphFont"/>
    <w:link w:val="FootnoteText"/>
    <w:uiPriority w:val="5"/>
    <w:rsid w:val="00820535"/>
    <w:rPr>
      <w:rFonts w:ascii="Arial" w:hAnsi="Arial"/>
      <w:lang w:eastAsia="en-US" w:bidi="en-US"/>
    </w:rPr>
  </w:style>
  <w:style w:type="paragraph" w:styleId="ListParagraph">
    <w:name w:val="List Paragraph"/>
    <w:basedOn w:val="Normal"/>
    <w:uiPriority w:val="34"/>
    <w:qFormat/>
    <w:rsid w:val="004C6F68"/>
    <w:pPr>
      <w:ind w:left="720"/>
      <w:contextualSpacing/>
    </w:pPr>
  </w:style>
  <w:style w:type="paragraph" w:customStyle="1" w:styleId="AARTableText">
    <w:name w:val="AAR Table Text"/>
    <w:basedOn w:val="Normal"/>
    <w:qFormat/>
    <w:rsid w:val="008A7E66"/>
    <w:pPr>
      <w:widowControl/>
      <w:spacing w:before="60" w:after="60"/>
    </w:pPr>
    <w:rPr>
      <w:rFonts w:cs="Arial"/>
      <w:sz w:val="20"/>
      <w:szCs w:val="20"/>
      <w:lang w:bidi="ar-SA"/>
    </w:rPr>
  </w:style>
  <w:style w:type="paragraph" w:styleId="NormalWeb">
    <w:name w:val="Normal (Web)"/>
    <w:basedOn w:val="Normal"/>
    <w:uiPriority w:val="99"/>
    <w:unhideWhenUsed/>
    <w:rsid w:val="001D2B3A"/>
    <w:pPr>
      <w:widowControl/>
      <w:spacing w:after="225" w:line="312" w:lineRule="atLeast"/>
    </w:pPr>
    <w:rPr>
      <w:rFonts w:ascii="Times New Roman" w:hAnsi="Times New Roman"/>
      <w:sz w:val="24"/>
      <w:lang w:eastAsia="en-GB" w:bidi="ar-SA"/>
    </w:rPr>
  </w:style>
  <w:style w:type="character" w:styleId="Emphasis">
    <w:name w:val="Emphasis"/>
    <w:basedOn w:val="DefaultParagraphFont"/>
    <w:uiPriority w:val="20"/>
    <w:qFormat/>
    <w:rsid w:val="006D746E"/>
    <w:rPr>
      <w:i/>
      <w:iCs/>
    </w:rPr>
  </w:style>
  <w:style w:type="paragraph" w:styleId="BodyText">
    <w:name w:val="Body Text"/>
    <w:basedOn w:val="Normal"/>
    <w:link w:val="BodyTextChar"/>
    <w:semiHidden/>
    <w:unhideWhenUsed/>
    <w:rsid w:val="0081389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Times New Roman" w:hAnsi="Times New Roman"/>
      <w:i/>
      <w:color w:val="000000"/>
      <w:sz w:val="24"/>
      <w:szCs w:val="20"/>
      <w:lang w:val="en-US" w:bidi="ar-SA"/>
    </w:rPr>
  </w:style>
  <w:style w:type="character" w:customStyle="1" w:styleId="BodyTextChar">
    <w:name w:val="Body Text Char"/>
    <w:basedOn w:val="DefaultParagraphFont"/>
    <w:link w:val="BodyText"/>
    <w:semiHidden/>
    <w:rsid w:val="0081389C"/>
    <w:rPr>
      <w:rFonts w:ascii="Times New Roman" w:hAnsi="Times New Roman"/>
      <w:i/>
      <w:color w:val="000000"/>
      <w:sz w:val="24"/>
      <w:lang w:val="en-US" w:eastAsia="en-US"/>
    </w:rPr>
  </w:style>
  <w:style w:type="character" w:customStyle="1" w:styleId="FooterChar">
    <w:name w:val="Footer Char"/>
    <w:basedOn w:val="DefaultParagraphFont"/>
    <w:link w:val="Footer"/>
    <w:rsid w:val="00CE56F5"/>
    <w:rPr>
      <w:rFonts w:ascii="Arial" w:hAnsi="Arial"/>
      <w:szCs w:val="24"/>
      <w:lang w:eastAsia="en-US" w:bidi="en-US"/>
    </w:rPr>
  </w:style>
  <w:style w:type="character" w:customStyle="1" w:styleId="BalloonTextChar">
    <w:name w:val="Balloon Text Char"/>
    <w:basedOn w:val="DefaultParagraphFont"/>
    <w:link w:val="BalloonText"/>
    <w:semiHidden/>
    <w:rsid w:val="00CE56F5"/>
    <w:rPr>
      <w:rFonts w:ascii="Tahoma" w:hAnsi="Tahoma" w:cs="Tahoma"/>
      <w:sz w:val="16"/>
      <w:szCs w:val="16"/>
      <w:lang w:eastAsia="en-US" w:bidi="en-US"/>
    </w:rPr>
  </w:style>
  <w:style w:type="character" w:customStyle="1" w:styleId="mixed-citation">
    <w:name w:val="mixed-citation"/>
    <w:basedOn w:val="DefaultParagraphFont"/>
    <w:rsid w:val="00B92CBE"/>
  </w:style>
  <w:style w:type="character" w:customStyle="1" w:styleId="ref-journal">
    <w:name w:val="ref-journal"/>
    <w:basedOn w:val="DefaultParagraphFont"/>
    <w:rsid w:val="00B92CBE"/>
  </w:style>
  <w:style w:type="paragraph" w:customStyle="1" w:styleId="Bullet">
    <w:name w:val="Bullet"/>
    <w:basedOn w:val="Normal"/>
    <w:rsid w:val="005F28B6"/>
    <w:pPr>
      <w:numPr>
        <w:numId w:val="30"/>
      </w:numPr>
      <w:tabs>
        <w:tab w:val="clear" w:pos="577"/>
      </w:tabs>
      <w:ind w:left="567" w:hanging="567"/>
    </w:pPr>
    <w:rPr>
      <w:rFonts w:ascii="Times New Roman" w:hAnsi="Times New Roman"/>
      <w:sz w:val="24"/>
      <w:lang w:bidi="ar-SA"/>
    </w:rPr>
  </w:style>
  <w:style w:type="paragraph" w:customStyle="1" w:styleId="Default">
    <w:name w:val="Default"/>
    <w:rsid w:val="007F6BAE"/>
    <w:pPr>
      <w:autoSpaceDE w:val="0"/>
      <w:autoSpaceDN w:val="0"/>
      <w:adjustRightInd w:val="0"/>
    </w:pPr>
    <w:rPr>
      <w:rFonts w:ascii="Arial" w:hAnsi="Arial" w:cs="Arial"/>
      <w:color w:val="000000"/>
      <w:sz w:val="24"/>
      <w:szCs w:val="24"/>
    </w:rPr>
  </w:style>
  <w:style w:type="character" w:customStyle="1" w:styleId="groupname">
    <w:name w:val="groupname"/>
    <w:basedOn w:val="DefaultParagraphFont"/>
    <w:rsid w:val="003D5E14"/>
  </w:style>
  <w:style w:type="character" w:customStyle="1" w:styleId="articletitle">
    <w:name w:val="articletitle"/>
    <w:basedOn w:val="DefaultParagraphFont"/>
    <w:rsid w:val="003D5E14"/>
  </w:style>
  <w:style w:type="character" w:customStyle="1" w:styleId="pubyear">
    <w:name w:val="pubyear"/>
    <w:basedOn w:val="DefaultParagraphFont"/>
    <w:rsid w:val="003D5E14"/>
  </w:style>
  <w:style w:type="character" w:customStyle="1" w:styleId="vol">
    <w:name w:val="vol"/>
    <w:basedOn w:val="DefaultParagraphFont"/>
    <w:rsid w:val="003D5E14"/>
  </w:style>
  <w:style w:type="character" w:customStyle="1" w:styleId="citedissue">
    <w:name w:val="citedissue"/>
    <w:basedOn w:val="DefaultParagraphFont"/>
    <w:rsid w:val="003D5E14"/>
  </w:style>
  <w:style w:type="character" w:styleId="Strong">
    <w:name w:val="Strong"/>
    <w:basedOn w:val="DefaultParagraphFont"/>
    <w:uiPriority w:val="22"/>
    <w:qFormat/>
    <w:rsid w:val="00820483"/>
    <w:rPr>
      <w:b/>
      <w:bCs/>
    </w:rPr>
  </w:style>
  <w:style w:type="paragraph" w:customStyle="1" w:styleId="Dotpoint">
    <w:name w:val="Dot point"/>
    <w:basedOn w:val="Normal"/>
    <w:rsid w:val="00820483"/>
    <w:pPr>
      <w:numPr>
        <w:ilvl w:val="1"/>
        <w:numId w:val="47"/>
      </w:numPr>
    </w:pPr>
  </w:style>
  <w:style w:type="paragraph" w:customStyle="1" w:styleId="FSCFooter0">
    <w:name w:val="FSCFooter"/>
    <w:basedOn w:val="Normal"/>
    <w:uiPriority w:val="17"/>
    <w:qFormat/>
    <w:rsid w:val="00D55488"/>
    <w:pPr>
      <w:tabs>
        <w:tab w:val="center" w:pos="4536"/>
        <w:tab w:val="right" w:pos="9070"/>
      </w:tabs>
    </w:pPr>
    <w:rPr>
      <w:sz w:val="18"/>
      <w:szCs w:val="18"/>
      <w:lang w:val="en-GB"/>
    </w:rPr>
  </w:style>
  <w:style w:type="paragraph" w:customStyle="1" w:styleId="FSTableColumnRowheading">
    <w:name w:val="FSTable Column/Row heading"/>
    <w:basedOn w:val="Normal"/>
    <w:uiPriority w:val="8"/>
    <w:qFormat/>
    <w:locked/>
    <w:rsid w:val="00B43F63"/>
    <w:pPr>
      <w:widowControl/>
      <w:spacing w:before="120" w:after="120"/>
    </w:pPr>
    <w:rPr>
      <w:rFonts w:eastAsiaTheme="minorHAnsi" w:cstheme="minorBidi"/>
      <w:b/>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231">
      <w:bodyDiv w:val="1"/>
      <w:marLeft w:val="0"/>
      <w:marRight w:val="0"/>
      <w:marTop w:val="0"/>
      <w:marBottom w:val="0"/>
      <w:divBdr>
        <w:top w:val="none" w:sz="0" w:space="0" w:color="auto"/>
        <w:left w:val="none" w:sz="0" w:space="0" w:color="auto"/>
        <w:bottom w:val="none" w:sz="0" w:space="0" w:color="auto"/>
        <w:right w:val="none" w:sz="0" w:space="0" w:color="auto"/>
      </w:divBdr>
    </w:div>
    <w:div w:id="39014863">
      <w:bodyDiv w:val="1"/>
      <w:marLeft w:val="0"/>
      <w:marRight w:val="0"/>
      <w:marTop w:val="0"/>
      <w:marBottom w:val="0"/>
      <w:divBdr>
        <w:top w:val="none" w:sz="0" w:space="0" w:color="auto"/>
        <w:left w:val="none" w:sz="0" w:space="0" w:color="auto"/>
        <w:bottom w:val="none" w:sz="0" w:space="0" w:color="auto"/>
        <w:right w:val="none" w:sz="0" w:space="0" w:color="auto"/>
      </w:divBdr>
    </w:div>
    <w:div w:id="76753841">
      <w:bodyDiv w:val="1"/>
      <w:marLeft w:val="0"/>
      <w:marRight w:val="0"/>
      <w:marTop w:val="0"/>
      <w:marBottom w:val="0"/>
      <w:divBdr>
        <w:top w:val="none" w:sz="0" w:space="0" w:color="auto"/>
        <w:left w:val="none" w:sz="0" w:space="0" w:color="auto"/>
        <w:bottom w:val="none" w:sz="0" w:space="0" w:color="auto"/>
        <w:right w:val="none" w:sz="0" w:space="0" w:color="auto"/>
      </w:divBdr>
      <w:divsChild>
        <w:div w:id="984895360">
          <w:marLeft w:val="0"/>
          <w:marRight w:val="0"/>
          <w:marTop w:val="0"/>
          <w:marBottom w:val="0"/>
          <w:divBdr>
            <w:top w:val="none" w:sz="0" w:space="0" w:color="auto"/>
            <w:left w:val="none" w:sz="0" w:space="0" w:color="auto"/>
            <w:bottom w:val="none" w:sz="0" w:space="0" w:color="auto"/>
            <w:right w:val="none" w:sz="0" w:space="0" w:color="auto"/>
          </w:divBdr>
        </w:div>
        <w:div w:id="214395094">
          <w:marLeft w:val="0"/>
          <w:marRight w:val="0"/>
          <w:marTop w:val="0"/>
          <w:marBottom w:val="0"/>
          <w:divBdr>
            <w:top w:val="none" w:sz="0" w:space="0" w:color="auto"/>
            <w:left w:val="none" w:sz="0" w:space="0" w:color="auto"/>
            <w:bottom w:val="none" w:sz="0" w:space="0" w:color="auto"/>
            <w:right w:val="none" w:sz="0" w:space="0" w:color="auto"/>
          </w:divBdr>
        </w:div>
      </w:divsChild>
    </w:div>
    <w:div w:id="125703036">
      <w:bodyDiv w:val="1"/>
      <w:marLeft w:val="0"/>
      <w:marRight w:val="0"/>
      <w:marTop w:val="0"/>
      <w:marBottom w:val="0"/>
      <w:divBdr>
        <w:top w:val="none" w:sz="0" w:space="0" w:color="auto"/>
        <w:left w:val="none" w:sz="0" w:space="0" w:color="auto"/>
        <w:bottom w:val="none" w:sz="0" w:space="0" w:color="auto"/>
        <w:right w:val="none" w:sz="0" w:space="0" w:color="auto"/>
      </w:divBdr>
    </w:div>
    <w:div w:id="140998281">
      <w:bodyDiv w:val="1"/>
      <w:marLeft w:val="0"/>
      <w:marRight w:val="0"/>
      <w:marTop w:val="0"/>
      <w:marBottom w:val="0"/>
      <w:divBdr>
        <w:top w:val="none" w:sz="0" w:space="0" w:color="auto"/>
        <w:left w:val="none" w:sz="0" w:space="0" w:color="auto"/>
        <w:bottom w:val="none" w:sz="0" w:space="0" w:color="auto"/>
        <w:right w:val="none" w:sz="0" w:space="0" w:color="auto"/>
      </w:divBdr>
      <w:divsChild>
        <w:div w:id="1561555159">
          <w:marLeft w:val="0"/>
          <w:marRight w:val="0"/>
          <w:marTop w:val="0"/>
          <w:marBottom w:val="0"/>
          <w:divBdr>
            <w:top w:val="none" w:sz="0" w:space="0" w:color="auto"/>
            <w:left w:val="none" w:sz="0" w:space="0" w:color="auto"/>
            <w:bottom w:val="none" w:sz="0" w:space="0" w:color="auto"/>
            <w:right w:val="none" w:sz="0" w:space="0" w:color="auto"/>
          </w:divBdr>
          <w:divsChild>
            <w:div w:id="1713268739">
              <w:marLeft w:val="0"/>
              <w:marRight w:val="0"/>
              <w:marTop w:val="0"/>
              <w:marBottom w:val="0"/>
              <w:divBdr>
                <w:top w:val="none" w:sz="0" w:space="0" w:color="auto"/>
                <w:left w:val="none" w:sz="0" w:space="0" w:color="auto"/>
                <w:bottom w:val="none" w:sz="0" w:space="0" w:color="auto"/>
                <w:right w:val="none" w:sz="0" w:space="0" w:color="auto"/>
              </w:divBdr>
              <w:divsChild>
                <w:div w:id="275605410">
                  <w:marLeft w:val="-225"/>
                  <w:marRight w:val="-225"/>
                  <w:marTop w:val="0"/>
                  <w:marBottom w:val="0"/>
                  <w:divBdr>
                    <w:top w:val="none" w:sz="0" w:space="0" w:color="auto"/>
                    <w:left w:val="none" w:sz="0" w:space="0" w:color="auto"/>
                    <w:bottom w:val="none" w:sz="0" w:space="0" w:color="auto"/>
                    <w:right w:val="none" w:sz="0" w:space="0" w:color="auto"/>
                  </w:divBdr>
                  <w:divsChild>
                    <w:div w:id="10727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63108">
      <w:bodyDiv w:val="1"/>
      <w:marLeft w:val="0"/>
      <w:marRight w:val="0"/>
      <w:marTop w:val="0"/>
      <w:marBottom w:val="0"/>
      <w:divBdr>
        <w:top w:val="none" w:sz="0" w:space="0" w:color="auto"/>
        <w:left w:val="none" w:sz="0" w:space="0" w:color="auto"/>
        <w:bottom w:val="none" w:sz="0" w:space="0" w:color="auto"/>
        <w:right w:val="none" w:sz="0" w:space="0" w:color="auto"/>
      </w:divBdr>
      <w:divsChild>
        <w:div w:id="1715809062">
          <w:marLeft w:val="0"/>
          <w:marRight w:val="0"/>
          <w:marTop w:val="0"/>
          <w:marBottom w:val="0"/>
          <w:divBdr>
            <w:top w:val="none" w:sz="0" w:space="0" w:color="auto"/>
            <w:left w:val="none" w:sz="0" w:space="0" w:color="auto"/>
            <w:bottom w:val="none" w:sz="0" w:space="0" w:color="auto"/>
            <w:right w:val="none" w:sz="0" w:space="0" w:color="auto"/>
          </w:divBdr>
        </w:div>
        <w:div w:id="1913274111">
          <w:marLeft w:val="0"/>
          <w:marRight w:val="0"/>
          <w:marTop w:val="0"/>
          <w:marBottom w:val="0"/>
          <w:divBdr>
            <w:top w:val="none" w:sz="0" w:space="0" w:color="auto"/>
            <w:left w:val="none" w:sz="0" w:space="0" w:color="auto"/>
            <w:bottom w:val="none" w:sz="0" w:space="0" w:color="auto"/>
            <w:right w:val="none" w:sz="0" w:space="0" w:color="auto"/>
          </w:divBdr>
        </w:div>
        <w:div w:id="1544291252">
          <w:marLeft w:val="0"/>
          <w:marRight w:val="0"/>
          <w:marTop w:val="0"/>
          <w:marBottom w:val="0"/>
          <w:divBdr>
            <w:top w:val="none" w:sz="0" w:space="0" w:color="auto"/>
            <w:left w:val="none" w:sz="0" w:space="0" w:color="auto"/>
            <w:bottom w:val="none" w:sz="0" w:space="0" w:color="auto"/>
            <w:right w:val="none" w:sz="0" w:space="0" w:color="auto"/>
          </w:divBdr>
        </w:div>
      </w:divsChild>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07383686">
      <w:bodyDiv w:val="1"/>
      <w:marLeft w:val="0"/>
      <w:marRight w:val="0"/>
      <w:marTop w:val="0"/>
      <w:marBottom w:val="0"/>
      <w:divBdr>
        <w:top w:val="none" w:sz="0" w:space="0" w:color="auto"/>
        <w:left w:val="none" w:sz="0" w:space="0" w:color="auto"/>
        <w:bottom w:val="none" w:sz="0" w:space="0" w:color="auto"/>
        <w:right w:val="none" w:sz="0" w:space="0" w:color="auto"/>
      </w:divBdr>
      <w:divsChild>
        <w:div w:id="1645889758">
          <w:marLeft w:val="0"/>
          <w:marRight w:val="0"/>
          <w:marTop w:val="0"/>
          <w:marBottom w:val="0"/>
          <w:divBdr>
            <w:top w:val="none" w:sz="0" w:space="0" w:color="auto"/>
            <w:left w:val="none" w:sz="0" w:space="0" w:color="auto"/>
            <w:bottom w:val="none" w:sz="0" w:space="0" w:color="auto"/>
            <w:right w:val="none" w:sz="0" w:space="0" w:color="auto"/>
          </w:divBdr>
          <w:divsChild>
            <w:div w:id="768937570">
              <w:marLeft w:val="0"/>
              <w:marRight w:val="0"/>
              <w:marTop w:val="0"/>
              <w:marBottom w:val="0"/>
              <w:divBdr>
                <w:top w:val="none" w:sz="0" w:space="0" w:color="auto"/>
                <w:left w:val="none" w:sz="0" w:space="0" w:color="auto"/>
                <w:bottom w:val="none" w:sz="0" w:space="0" w:color="auto"/>
                <w:right w:val="none" w:sz="0" w:space="0" w:color="auto"/>
              </w:divBdr>
              <w:divsChild>
                <w:div w:id="1884557164">
                  <w:marLeft w:val="-225"/>
                  <w:marRight w:val="-225"/>
                  <w:marTop w:val="0"/>
                  <w:marBottom w:val="0"/>
                  <w:divBdr>
                    <w:top w:val="none" w:sz="0" w:space="0" w:color="auto"/>
                    <w:left w:val="none" w:sz="0" w:space="0" w:color="auto"/>
                    <w:bottom w:val="none" w:sz="0" w:space="0" w:color="auto"/>
                    <w:right w:val="none" w:sz="0" w:space="0" w:color="auto"/>
                  </w:divBdr>
                  <w:divsChild>
                    <w:div w:id="3628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003641">
      <w:bodyDiv w:val="1"/>
      <w:marLeft w:val="0"/>
      <w:marRight w:val="0"/>
      <w:marTop w:val="0"/>
      <w:marBottom w:val="0"/>
      <w:divBdr>
        <w:top w:val="none" w:sz="0" w:space="0" w:color="auto"/>
        <w:left w:val="none" w:sz="0" w:space="0" w:color="auto"/>
        <w:bottom w:val="none" w:sz="0" w:space="0" w:color="auto"/>
        <w:right w:val="none" w:sz="0" w:space="0" w:color="auto"/>
      </w:divBdr>
    </w:div>
    <w:div w:id="463353576">
      <w:bodyDiv w:val="1"/>
      <w:marLeft w:val="0"/>
      <w:marRight w:val="0"/>
      <w:marTop w:val="0"/>
      <w:marBottom w:val="0"/>
      <w:divBdr>
        <w:top w:val="none" w:sz="0" w:space="0" w:color="auto"/>
        <w:left w:val="none" w:sz="0" w:space="0" w:color="auto"/>
        <w:bottom w:val="none" w:sz="0" w:space="0" w:color="auto"/>
        <w:right w:val="none" w:sz="0" w:space="0" w:color="auto"/>
      </w:divBdr>
    </w:div>
    <w:div w:id="529732347">
      <w:bodyDiv w:val="1"/>
      <w:marLeft w:val="0"/>
      <w:marRight w:val="0"/>
      <w:marTop w:val="0"/>
      <w:marBottom w:val="0"/>
      <w:divBdr>
        <w:top w:val="none" w:sz="0" w:space="0" w:color="auto"/>
        <w:left w:val="none" w:sz="0" w:space="0" w:color="auto"/>
        <w:bottom w:val="none" w:sz="0" w:space="0" w:color="auto"/>
        <w:right w:val="none" w:sz="0" w:space="0" w:color="auto"/>
      </w:divBdr>
      <w:divsChild>
        <w:div w:id="502206135">
          <w:marLeft w:val="0"/>
          <w:marRight w:val="0"/>
          <w:marTop w:val="0"/>
          <w:marBottom w:val="0"/>
          <w:divBdr>
            <w:top w:val="none" w:sz="0" w:space="0" w:color="auto"/>
            <w:left w:val="none" w:sz="0" w:space="0" w:color="auto"/>
            <w:bottom w:val="none" w:sz="0" w:space="0" w:color="auto"/>
            <w:right w:val="none" w:sz="0" w:space="0" w:color="auto"/>
          </w:divBdr>
          <w:divsChild>
            <w:div w:id="256989017">
              <w:marLeft w:val="0"/>
              <w:marRight w:val="0"/>
              <w:marTop w:val="0"/>
              <w:marBottom w:val="0"/>
              <w:divBdr>
                <w:top w:val="none" w:sz="0" w:space="0" w:color="auto"/>
                <w:left w:val="none" w:sz="0" w:space="0" w:color="auto"/>
                <w:bottom w:val="none" w:sz="0" w:space="0" w:color="auto"/>
                <w:right w:val="none" w:sz="0" w:space="0" w:color="auto"/>
              </w:divBdr>
              <w:divsChild>
                <w:div w:id="361246724">
                  <w:marLeft w:val="-225"/>
                  <w:marRight w:val="-225"/>
                  <w:marTop w:val="0"/>
                  <w:marBottom w:val="0"/>
                  <w:divBdr>
                    <w:top w:val="none" w:sz="0" w:space="0" w:color="auto"/>
                    <w:left w:val="none" w:sz="0" w:space="0" w:color="auto"/>
                    <w:bottom w:val="none" w:sz="0" w:space="0" w:color="auto"/>
                    <w:right w:val="none" w:sz="0" w:space="0" w:color="auto"/>
                  </w:divBdr>
                  <w:divsChild>
                    <w:div w:id="20186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3801">
      <w:bodyDiv w:val="1"/>
      <w:marLeft w:val="0"/>
      <w:marRight w:val="0"/>
      <w:marTop w:val="0"/>
      <w:marBottom w:val="0"/>
      <w:divBdr>
        <w:top w:val="none" w:sz="0" w:space="0" w:color="auto"/>
        <w:left w:val="none" w:sz="0" w:space="0" w:color="auto"/>
        <w:bottom w:val="none" w:sz="0" w:space="0" w:color="auto"/>
        <w:right w:val="none" w:sz="0" w:space="0" w:color="auto"/>
      </w:divBdr>
      <w:divsChild>
        <w:div w:id="949623851">
          <w:marLeft w:val="0"/>
          <w:marRight w:val="0"/>
          <w:marTop w:val="0"/>
          <w:marBottom w:val="0"/>
          <w:divBdr>
            <w:top w:val="none" w:sz="0" w:space="0" w:color="auto"/>
            <w:left w:val="none" w:sz="0" w:space="0" w:color="auto"/>
            <w:bottom w:val="none" w:sz="0" w:space="0" w:color="auto"/>
            <w:right w:val="none" w:sz="0" w:space="0" w:color="auto"/>
          </w:divBdr>
          <w:divsChild>
            <w:div w:id="483398829">
              <w:marLeft w:val="0"/>
              <w:marRight w:val="0"/>
              <w:marTop w:val="0"/>
              <w:marBottom w:val="0"/>
              <w:divBdr>
                <w:top w:val="none" w:sz="0" w:space="0" w:color="auto"/>
                <w:left w:val="none" w:sz="0" w:space="0" w:color="auto"/>
                <w:bottom w:val="none" w:sz="0" w:space="0" w:color="auto"/>
                <w:right w:val="none" w:sz="0" w:space="0" w:color="auto"/>
              </w:divBdr>
              <w:divsChild>
                <w:div w:id="135536166">
                  <w:blockQuote w:val="1"/>
                  <w:marLeft w:val="0"/>
                  <w:marRight w:val="0"/>
                  <w:marTop w:val="0"/>
                  <w:marBottom w:val="345"/>
                  <w:divBdr>
                    <w:top w:val="none" w:sz="0" w:space="0" w:color="auto"/>
                    <w:left w:val="single" w:sz="36" w:space="17" w:color="EEEEEE"/>
                    <w:bottom w:val="none" w:sz="0" w:space="0" w:color="auto"/>
                    <w:right w:val="none" w:sz="0" w:space="0" w:color="auto"/>
                  </w:divBdr>
                </w:div>
              </w:divsChild>
            </w:div>
          </w:divsChild>
        </w:div>
      </w:divsChild>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49162367">
      <w:bodyDiv w:val="1"/>
      <w:marLeft w:val="0"/>
      <w:marRight w:val="0"/>
      <w:marTop w:val="0"/>
      <w:marBottom w:val="0"/>
      <w:divBdr>
        <w:top w:val="none" w:sz="0" w:space="0" w:color="auto"/>
        <w:left w:val="none" w:sz="0" w:space="0" w:color="auto"/>
        <w:bottom w:val="none" w:sz="0" w:space="0" w:color="auto"/>
        <w:right w:val="none" w:sz="0" w:space="0" w:color="auto"/>
      </w:divBdr>
    </w:div>
    <w:div w:id="882788261">
      <w:bodyDiv w:val="1"/>
      <w:marLeft w:val="0"/>
      <w:marRight w:val="0"/>
      <w:marTop w:val="0"/>
      <w:marBottom w:val="0"/>
      <w:divBdr>
        <w:top w:val="none" w:sz="0" w:space="0" w:color="auto"/>
        <w:left w:val="none" w:sz="0" w:space="0" w:color="auto"/>
        <w:bottom w:val="none" w:sz="0" w:space="0" w:color="auto"/>
        <w:right w:val="none" w:sz="0" w:space="0" w:color="auto"/>
      </w:divBdr>
      <w:divsChild>
        <w:div w:id="917863176">
          <w:marLeft w:val="0"/>
          <w:marRight w:val="0"/>
          <w:marTop w:val="0"/>
          <w:marBottom w:val="0"/>
          <w:divBdr>
            <w:top w:val="none" w:sz="0" w:space="0" w:color="auto"/>
            <w:left w:val="none" w:sz="0" w:space="0" w:color="auto"/>
            <w:bottom w:val="none" w:sz="0" w:space="0" w:color="auto"/>
            <w:right w:val="none" w:sz="0" w:space="0" w:color="auto"/>
          </w:divBdr>
        </w:div>
        <w:div w:id="327831711">
          <w:marLeft w:val="0"/>
          <w:marRight w:val="0"/>
          <w:marTop w:val="0"/>
          <w:marBottom w:val="0"/>
          <w:divBdr>
            <w:top w:val="none" w:sz="0" w:space="0" w:color="auto"/>
            <w:left w:val="none" w:sz="0" w:space="0" w:color="auto"/>
            <w:bottom w:val="none" w:sz="0" w:space="0" w:color="auto"/>
            <w:right w:val="none" w:sz="0" w:space="0" w:color="auto"/>
          </w:divBdr>
        </w:div>
        <w:div w:id="333725705">
          <w:marLeft w:val="0"/>
          <w:marRight w:val="0"/>
          <w:marTop w:val="0"/>
          <w:marBottom w:val="0"/>
          <w:divBdr>
            <w:top w:val="none" w:sz="0" w:space="0" w:color="auto"/>
            <w:left w:val="none" w:sz="0" w:space="0" w:color="auto"/>
            <w:bottom w:val="none" w:sz="0" w:space="0" w:color="auto"/>
            <w:right w:val="none" w:sz="0" w:space="0" w:color="auto"/>
          </w:divBdr>
        </w:div>
        <w:div w:id="1138569776">
          <w:marLeft w:val="0"/>
          <w:marRight w:val="0"/>
          <w:marTop w:val="0"/>
          <w:marBottom w:val="0"/>
          <w:divBdr>
            <w:top w:val="none" w:sz="0" w:space="0" w:color="auto"/>
            <w:left w:val="none" w:sz="0" w:space="0" w:color="auto"/>
            <w:bottom w:val="none" w:sz="0" w:space="0" w:color="auto"/>
            <w:right w:val="none" w:sz="0" w:space="0" w:color="auto"/>
          </w:divBdr>
        </w:div>
        <w:div w:id="2135519584">
          <w:marLeft w:val="0"/>
          <w:marRight w:val="0"/>
          <w:marTop w:val="0"/>
          <w:marBottom w:val="0"/>
          <w:divBdr>
            <w:top w:val="none" w:sz="0" w:space="0" w:color="auto"/>
            <w:left w:val="none" w:sz="0" w:space="0" w:color="auto"/>
            <w:bottom w:val="none" w:sz="0" w:space="0" w:color="auto"/>
            <w:right w:val="none" w:sz="0" w:space="0" w:color="auto"/>
          </w:divBdr>
        </w:div>
        <w:div w:id="370424432">
          <w:marLeft w:val="0"/>
          <w:marRight w:val="0"/>
          <w:marTop w:val="0"/>
          <w:marBottom w:val="0"/>
          <w:divBdr>
            <w:top w:val="none" w:sz="0" w:space="0" w:color="auto"/>
            <w:left w:val="none" w:sz="0" w:space="0" w:color="auto"/>
            <w:bottom w:val="none" w:sz="0" w:space="0" w:color="auto"/>
            <w:right w:val="none" w:sz="0" w:space="0" w:color="auto"/>
          </w:divBdr>
        </w:div>
        <w:div w:id="1725179455">
          <w:marLeft w:val="0"/>
          <w:marRight w:val="0"/>
          <w:marTop w:val="0"/>
          <w:marBottom w:val="0"/>
          <w:divBdr>
            <w:top w:val="none" w:sz="0" w:space="0" w:color="auto"/>
            <w:left w:val="none" w:sz="0" w:space="0" w:color="auto"/>
            <w:bottom w:val="none" w:sz="0" w:space="0" w:color="auto"/>
            <w:right w:val="none" w:sz="0" w:space="0" w:color="auto"/>
          </w:divBdr>
        </w:div>
        <w:div w:id="1241410656">
          <w:marLeft w:val="0"/>
          <w:marRight w:val="0"/>
          <w:marTop w:val="0"/>
          <w:marBottom w:val="0"/>
          <w:divBdr>
            <w:top w:val="none" w:sz="0" w:space="0" w:color="auto"/>
            <w:left w:val="none" w:sz="0" w:space="0" w:color="auto"/>
            <w:bottom w:val="none" w:sz="0" w:space="0" w:color="auto"/>
            <w:right w:val="none" w:sz="0" w:space="0" w:color="auto"/>
          </w:divBdr>
        </w:div>
        <w:div w:id="1325087709">
          <w:marLeft w:val="0"/>
          <w:marRight w:val="0"/>
          <w:marTop w:val="0"/>
          <w:marBottom w:val="0"/>
          <w:divBdr>
            <w:top w:val="none" w:sz="0" w:space="0" w:color="auto"/>
            <w:left w:val="none" w:sz="0" w:space="0" w:color="auto"/>
            <w:bottom w:val="none" w:sz="0" w:space="0" w:color="auto"/>
            <w:right w:val="none" w:sz="0" w:space="0" w:color="auto"/>
          </w:divBdr>
        </w:div>
      </w:divsChild>
    </w:div>
    <w:div w:id="889651606">
      <w:bodyDiv w:val="1"/>
      <w:marLeft w:val="0"/>
      <w:marRight w:val="0"/>
      <w:marTop w:val="0"/>
      <w:marBottom w:val="0"/>
      <w:divBdr>
        <w:top w:val="none" w:sz="0" w:space="0" w:color="auto"/>
        <w:left w:val="none" w:sz="0" w:space="0" w:color="auto"/>
        <w:bottom w:val="none" w:sz="0" w:space="0" w:color="auto"/>
        <w:right w:val="none" w:sz="0" w:space="0" w:color="auto"/>
      </w:divBdr>
    </w:div>
    <w:div w:id="1025060233">
      <w:bodyDiv w:val="1"/>
      <w:marLeft w:val="0"/>
      <w:marRight w:val="0"/>
      <w:marTop w:val="0"/>
      <w:marBottom w:val="0"/>
      <w:divBdr>
        <w:top w:val="none" w:sz="0" w:space="0" w:color="auto"/>
        <w:left w:val="none" w:sz="0" w:space="0" w:color="auto"/>
        <w:bottom w:val="none" w:sz="0" w:space="0" w:color="auto"/>
        <w:right w:val="none" w:sz="0" w:space="0" w:color="auto"/>
      </w:divBdr>
      <w:divsChild>
        <w:div w:id="34698603">
          <w:marLeft w:val="0"/>
          <w:marRight w:val="0"/>
          <w:marTop w:val="0"/>
          <w:marBottom w:val="0"/>
          <w:divBdr>
            <w:top w:val="none" w:sz="0" w:space="0" w:color="auto"/>
            <w:left w:val="none" w:sz="0" w:space="0" w:color="auto"/>
            <w:bottom w:val="none" w:sz="0" w:space="0" w:color="auto"/>
            <w:right w:val="none" w:sz="0" w:space="0" w:color="auto"/>
          </w:divBdr>
          <w:divsChild>
            <w:div w:id="1727409806">
              <w:marLeft w:val="0"/>
              <w:marRight w:val="0"/>
              <w:marTop w:val="0"/>
              <w:marBottom w:val="0"/>
              <w:divBdr>
                <w:top w:val="none" w:sz="0" w:space="0" w:color="auto"/>
                <w:left w:val="none" w:sz="0" w:space="0" w:color="auto"/>
                <w:bottom w:val="none" w:sz="0" w:space="0" w:color="auto"/>
                <w:right w:val="none" w:sz="0" w:space="0" w:color="auto"/>
              </w:divBdr>
              <w:divsChild>
                <w:div w:id="187571411">
                  <w:marLeft w:val="0"/>
                  <w:marRight w:val="0"/>
                  <w:marTop w:val="0"/>
                  <w:marBottom w:val="0"/>
                  <w:divBdr>
                    <w:top w:val="none" w:sz="0" w:space="0" w:color="auto"/>
                    <w:left w:val="none" w:sz="0" w:space="0" w:color="auto"/>
                    <w:bottom w:val="none" w:sz="0" w:space="0" w:color="auto"/>
                    <w:right w:val="none" w:sz="0" w:space="0" w:color="auto"/>
                  </w:divBdr>
                  <w:divsChild>
                    <w:div w:id="349917056">
                      <w:marLeft w:val="0"/>
                      <w:marRight w:val="0"/>
                      <w:marTop w:val="0"/>
                      <w:marBottom w:val="0"/>
                      <w:divBdr>
                        <w:top w:val="none" w:sz="0" w:space="0" w:color="auto"/>
                        <w:left w:val="none" w:sz="0" w:space="0" w:color="auto"/>
                        <w:bottom w:val="none" w:sz="0" w:space="0" w:color="auto"/>
                        <w:right w:val="none" w:sz="0" w:space="0" w:color="auto"/>
                      </w:divBdr>
                      <w:divsChild>
                        <w:div w:id="1241254723">
                          <w:marLeft w:val="0"/>
                          <w:marRight w:val="0"/>
                          <w:marTop w:val="0"/>
                          <w:marBottom w:val="0"/>
                          <w:divBdr>
                            <w:top w:val="none" w:sz="0" w:space="0" w:color="auto"/>
                            <w:left w:val="none" w:sz="0" w:space="0" w:color="auto"/>
                            <w:bottom w:val="none" w:sz="0" w:space="0" w:color="auto"/>
                            <w:right w:val="none" w:sz="0" w:space="0" w:color="auto"/>
                          </w:divBdr>
                          <w:divsChild>
                            <w:div w:id="125393514">
                              <w:marLeft w:val="0"/>
                              <w:marRight w:val="0"/>
                              <w:marTop w:val="0"/>
                              <w:marBottom w:val="0"/>
                              <w:divBdr>
                                <w:top w:val="none" w:sz="0" w:space="0" w:color="auto"/>
                                <w:left w:val="none" w:sz="0" w:space="0" w:color="auto"/>
                                <w:bottom w:val="none" w:sz="0" w:space="0" w:color="auto"/>
                                <w:right w:val="none" w:sz="0" w:space="0" w:color="auto"/>
                              </w:divBdr>
                              <w:divsChild>
                                <w:div w:id="525869035">
                                  <w:marLeft w:val="0"/>
                                  <w:marRight w:val="0"/>
                                  <w:marTop w:val="0"/>
                                  <w:marBottom w:val="0"/>
                                  <w:divBdr>
                                    <w:top w:val="none" w:sz="0" w:space="0" w:color="auto"/>
                                    <w:left w:val="none" w:sz="0" w:space="0" w:color="auto"/>
                                    <w:bottom w:val="none" w:sz="0" w:space="0" w:color="auto"/>
                                    <w:right w:val="none" w:sz="0" w:space="0" w:color="auto"/>
                                  </w:divBdr>
                                  <w:divsChild>
                                    <w:div w:id="1650593954">
                                      <w:marLeft w:val="0"/>
                                      <w:marRight w:val="0"/>
                                      <w:marTop w:val="0"/>
                                      <w:marBottom w:val="0"/>
                                      <w:divBdr>
                                        <w:top w:val="none" w:sz="0" w:space="0" w:color="auto"/>
                                        <w:left w:val="none" w:sz="0" w:space="0" w:color="auto"/>
                                        <w:bottom w:val="none" w:sz="0" w:space="0" w:color="auto"/>
                                        <w:right w:val="none" w:sz="0" w:space="0" w:color="auto"/>
                                      </w:divBdr>
                                      <w:divsChild>
                                        <w:div w:id="936670482">
                                          <w:marLeft w:val="0"/>
                                          <w:marRight w:val="0"/>
                                          <w:marTop w:val="0"/>
                                          <w:marBottom w:val="0"/>
                                          <w:divBdr>
                                            <w:top w:val="none" w:sz="0" w:space="0" w:color="auto"/>
                                            <w:left w:val="none" w:sz="0" w:space="0" w:color="auto"/>
                                            <w:bottom w:val="none" w:sz="0" w:space="0" w:color="auto"/>
                                            <w:right w:val="none" w:sz="0" w:space="0" w:color="auto"/>
                                          </w:divBdr>
                                          <w:divsChild>
                                            <w:div w:id="1511525125">
                                              <w:marLeft w:val="0"/>
                                              <w:marRight w:val="0"/>
                                              <w:marTop w:val="0"/>
                                              <w:marBottom w:val="0"/>
                                              <w:divBdr>
                                                <w:top w:val="none" w:sz="0" w:space="0" w:color="auto"/>
                                                <w:left w:val="none" w:sz="0" w:space="0" w:color="auto"/>
                                                <w:bottom w:val="none" w:sz="0" w:space="0" w:color="auto"/>
                                                <w:right w:val="none" w:sz="0" w:space="0" w:color="auto"/>
                                              </w:divBdr>
                                              <w:divsChild>
                                                <w:div w:id="1928152164">
                                                  <w:marLeft w:val="0"/>
                                                  <w:marRight w:val="0"/>
                                                  <w:marTop w:val="0"/>
                                                  <w:marBottom w:val="0"/>
                                                  <w:divBdr>
                                                    <w:top w:val="none" w:sz="0" w:space="0" w:color="auto"/>
                                                    <w:left w:val="none" w:sz="0" w:space="0" w:color="auto"/>
                                                    <w:bottom w:val="none" w:sz="0" w:space="0" w:color="auto"/>
                                                    <w:right w:val="none" w:sz="0" w:space="0" w:color="auto"/>
                                                  </w:divBdr>
                                                  <w:divsChild>
                                                    <w:div w:id="202375705">
                                                      <w:marLeft w:val="0"/>
                                                      <w:marRight w:val="0"/>
                                                      <w:marTop w:val="0"/>
                                                      <w:marBottom w:val="0"/>
                                                      <w:divBdr>
                                                        <w:top w:val="none" w:sz="0" w:space="0" w:color="auto"/>
                                                        <w:left w:val="none" w:sz="0" w:space="0" w:color="auto"/>
                                                        <w:bottom w:val="none" w:sz="0" w:space="0" w:color="auto"/>
                                                        <w:right w:val="none" w:sz="0" w:space="0" w:color="auto"/>
                                                      </w:divBdr>
                                                      <w:divsChild>
                                                        <w:div w:id="1993487340">
                                                          <w:marLeft w:val="0"/>
                                                          <w:marRight w:val="0"/>
                                                          <w:marTop w:val="0"/>
                                                          <w:marBottom w:val="0"/>
                                                          <w:divBdr>
                                                            <w:top w:val="none" w:sz="0" w:space="0" w:color="auto"/>
                                                            <w:left w:val="none" w:sz="0" w:space="0" w:color="auto"/>
                                                            <w:bottom w:val="none" w:sz="0" w:space="0" w:color="auto"/>
                                                            <w:right w:val="none" w:sz="0" w:space="0" w:color="auto"/>
                                                          </w:divBdr>
                                                          <w:divsChild>
                                                            <w:div w:id="1379207665">
                                                              <w:marLeft w:val="0"/>
                                                              <w:marRight w:val="0"/>
                                                              <w:marTop w:val="0"/>
                                                              <w:marBottom w:val="0"/>
                                                              <w:divBdr>
                                                                <w:top w:val="none" w:sz="0" w:space="0" w:color="auto"/>
                                                                <w:left w:val="none" w:sz="0" w:space="0" w:color="auto"/>
                                                                <w:bottom w:val="none" w:sz="0" w:space="0" w:color="auto"/>
                                                                <w:right w:val="none" w:sz="0" w:space="0" w:color="auto"/>
                                                              </w:divBdr>
                                                              <w:divsChild>
                                                                <w:div w:id="1101101557">
                                                                  <w:marLeft w:val="0"/>
                                                                  <w:marRight w:val="0"/>
                                                                  <w:marTop w:val="0"/>
                                                                  <w:marBottom w:val="0"/>
                                                                  <w:divBdr>
                                                                    <w:top w:val="none" w:sz="0" w:space="0" w:color="auto"/>
                                                                    <w:left w:val="none" w:sz="0" w:space="0" w:color="auto"/>
                                                                    <w:bottom w:val="none" w:sz="0" w:space="0" w:color="auto"/>
                                                                    <w:right w:val="none" w:sz="0" w:space="0" w:color="auto"/>
                                                                  </w:divBdr>
                                                                  <w:divsChild>
                                                                    <w:div w:id="4061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8944007">
      <w:bodyDiv w:val="1"/>
      <w:marLeft w:val="0"/>
      <w:marRight w:val="0"/>
      <w:marTop w:val="0"/>
      <w:marBottom w:val="0"/>
      <w:divBdr>
        <w:top w:val="none" w:sz="0" w:space="0" w:color="auto"/>
        <w:left w:val="none" w:sz="0" w:space="0" w:color="auto"/>
        <w:bottom w:val="none" w:sz="0" w:space="0" w:color="auto"/>
        <w:right w:val="none" w:sz="0" w:space="0" w:color="auto"/>
      </w:divBdr>
    </w:div>
    <w:div w:id="1157763372">
      <w:bodyDiv w:val="1"/>
      <w:marLeft w:val="0"/>
      <w:marRight w:val="0"/>
      <w:marTop w:val="0"/>
      <w:marBottom w:val="0"/>
      <w:divBdr>
        <w:top w:val="none" w:sz="0" w:space="0" w:color="auto"/>
        <w:left w:val="none" w:sz="0" w:space="0" w:color="auto"/>
        <w:bottom w:val="none" w:sz="0" w:space="0" w:color="auto"/>
        <w:right w:val="none" w:sz="0" w:space="0" w:color="auto"/>
      </w:divBdr>
    </w:div>
    <w:div w:id="1334458196">
      <w:bodyDiv w:val="1"/>
      <w:marLeft w:val="0"/>
      <w:marRight w:val="0"/>
      <w:marTop w:val="0"/>
      <w:marBottom w:val="0"/>
      <w:divBdr>
        <w:top w:val="none" w:sz="0" w:space="0" w:color="auto"/>
        <w:left w:val="none" w:sz="0" w:space="0" w:color="auto"/>
        <w:bottom w:val="none" w:sz="0" w:space="0" w:color="auto"/>
        <w:right w:val="none" w:sz="0" w:space="0" w:color="auto"/>
      </w:divBdr>
      <w:divsChild>
        <w:div w:id="283313551">
          <w:marLeft w:val="0"/>
          <w:marRight w:val="0"/>
          <w:marTop w:val="0"/>
          <w:marBottom w:val="0"/>
          <w:divBdr>
            <w:top w:val="none" w:sz="0" w:space="0" w:color="auto"/>
            <w:left w:val="none" w:sz="0" w:space="0" w:color="auto"/>
            <w:bottom w:val="none" w:sz="0" w:space="0" w:color="auto"/>
            <w:right w:val="none" w:sz="0" w:space="0" w:color="auto"/>
          </w:divBdr>
          <w:divsChild>
            <w:div w:id="1597904878">
              <w:marLeft w:val="0"/>
              <w:marRight w:val="0"/>
              <w:marTop w:val="0"/>
              <w:marBottom w:val="0"/>
              <w:divBdr>
                <w:top w:val="none" w:sz="0" w:space="0" w:color="auto"/>
                <w:left w:val="none" w:sz="0" w:space="0" w:color="auto"/>
                <w:bottom w:val="none" w:sz="0" w:space="0" w:color="auto"/>
                <w:right w:val="none" w:sz="0" w:space="0" w:color="auto"/>
              </w:divBdr>
              <w:divsChild>
                <w:div w:id="1363704333">
                  <w:marLeft w:val="-225"/>
                  <w:marRight w:val="-225"/>
                  <w:marTop w:val="0"/>
                  <w:marBottom w:val="0"/>
                  <w:divBdr>
                    <w:top w:val="none" w:sz="0" w:space="0" w:color="auto"/>
                    <w:left w:val="none" w:sz="0" w:space="0" w:color="auto"/>
                    <w:bottom w:val="none" w:sz="0" w:space="0" w:color="auto"/>
                    <w:right w:val="none" w:sz="0" w:space="0" w:color="auto"/>
                  </w:divBdr>
                  <w:divsChild>
                    <w:div w:id="7959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963653">
      <w:bodyDiv w:val="1"/>
      <w:marLeft w:val="0"/>
      <w:marRight w:val="0"/>
      <w:marTop w:val="0"/>
      <w:marBottom w:val="0"/>
      <w:divBdr>
        <w:top w:val="none" w:sz="0" w:space="0" w:color="auto"/>
        <w:left w:val="none" w:sz="0" w:space="0" w:color="auto"/>
        <w:bottom w:val="none" w:sz="0" w:space="0" w:color="auto"/>
        <w:right w:val="none" w:sz="0" w:space="0" w:color="auto"/>
      </w:divBdr>
    </w:div>
    <w:div w:id="1444954886">
      <w:bodyDiv w:val="1"/>
      <w:marLeft w:val="0"/>
      <w:marRight w:val="0"/>
      <w:marTop w:val="0"/>
      <w:marBottom w:val="0"/>
      <w:divBdr>
        <w:top w:val="none" w:sz="0" w:space="0" w:color="auto"/>
        <w:left w:val="none" w:sz="0" w:space="0" w:color="auto"/>
        <w:bottom w:val="none" w:sz="0" w:space="0" w:color="auto"/>
        <w:right w:val="none" w:sz="0" w:space="0" w:color="auto"/>
      </w:divBdr>
      <w:divsChild>
        <w:div w:id="1104761022">
          <w:marLeft w:val="0"/>
          <w:marRight w:val="0"/>
          <w:marTop w:val="0"/>
          <w:marBottom w:val="0"/>
          <w:divBdr>
            <w:top w:val="none" w:sz="0" w:space="0" w:color="auto"/>
            <w:left w:val="none" w:sz="0" w:space="0" w:color="auto"/>
            <w:bottom w:val="none" w:sz="0" w:space="0" w:color="auto"/>
            <w:right w:val="none" w:sz="0" w:space="0" w:color="auto"/>
          </w:divBdr>
        </w:div>
        <w:div w:id="525825455">
          <w:marLeft w:val="0"/>
          <w:marRight w:val="0"/>
          <w:marTop w:val="0"/>
          <w:marBottom w:val="0"/>
          <w:divBdr>
            <w:top w:val="none" w:sz="0" w:space="0" w:color="auto"/>
            <w:left w:val="none" w:sz="0" w:space="0" w:color="auto"/>
            <w:bottom w:val="none" w:sz="0" w:space="0" w:color="auto"/>
            <w:right w:val="none" w:sz="0" w:space="0" w:color="auto"/>
          </w:divBdr>
        </w:div>
      </w:divsChild>
    </w:div>
    <w:div w:id="1567105394">
      <w:bodyDiv w:val="1"/>
      <w:marLeft w:val="0"/>
      <w:marRight w:val="0"/>
      <w:marTop w:val="0"/>
      <w:marBottom w:val="0"/>
      <w:divBdr>
        <w:top w:val="none" w:sz="0" w:space="0" w:color="auto"/>
        <w:left w:val="none" w:sz="0" w:space="0" w:color="auto"/>
        <w:bottom w:val="none" w:sz="0" w:space="0" w:color="auto"/>
        <w:right w:val="none" w:sz="0" w:space="0" w:color="auto"/>
      </w:divBdr>
      <w:divsChild>
        <w:div w:id="1050301271">
          <w:marLeft w:val="0"/>
          <w:marRight w:val="0"/>
          <w:marTop w:val="0"/>
          <w:marBottom w:val="0"/>
          <w:divBdr>
            <w:top w:val="none" w:sz="0" w:space="0" w:color="auto"/>
            <w:left w:val="none" w:sz="0" w:space="0" w:color="auto"/>
            <w:bottom w:val="none" w:sz="0" w:space="0" w:color="auto"/>
            <w:right w:val="none" w:sz="0" w:space="0" w:color="auto"/>
          </w:divBdr>
          <w:divsChild>
            <w:div w:id="4702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3533">
      <w:bodyDiv w:val="1"/>
      <w:marLeft w:val="0"/>
      <w:marRight w:val="0"/>
      <w:marTop w:val="0"/>
      <w:marBottom w:val="0"/>
      <w:divBdr>
        <w:top w:val="none" w:sz="0" w:space="0" w:color="auto"/>
        <w:left w:val="none" w:sz="0" w:space="0" w:color="auto"/>
        <w:bottom w:val="none" w:sz="0" w:space="0" w:color="auto"/>
        <w:right w:val="none" w:sz="0" w:space="0" w:color="auto"/>
      </w:divBdr>
      <w:divsChild>
        <w:div w:id="1135949490">
          <w:marLeft w:val="0"/>
          <w:marRight w:val="0"/>
          <w:marTop w:val="0"/>
          <w:marBottom w:val="0"/>
          <w:divBdr>
            <w:top w:val="none" w:sz="0" w:space="0" w:color="auto"/>
            <w:left w:val="none" w:sz="0" w:space="0" w:color="auto"/>
            <w:bottom w:val="none" w:sz="0" w:space="0" w:color="auto"/>
            <w:right w:val="none" w:sz="0" w:space="0" w:color="auto"/>
          </w:divBdr>
          <w:divsChild>
            <w:div w:id="608506386">
              <w:marLeft w:val="0"/>
              <w:marRight w:val="0"/>
              <w:marTop w:val="0"/>
              <w:marBottom w:val="0"/>
              <w:divBdr>
                <w:top w:val="none" w:sz="0" w:space="0" w:color="auto"/>
                <w:left w:val="none" w:sz="0" w:space="0" w:color="auto"/>
                <w:bottom w:val="none" w:sz="0" w:space="0" w:color="auto"/>
                <w:right w:val="none" w:sz="0" w:space="0" w:color="auto"/>
              </w:divBdr>
              <w:divsChild>
                <w:div w:id="159739799">
                  <w:marLeft w:val="-225"/>
                  <w:marRight w:val="-225"/>
                  <w:marTop w:val="0"/>
                  <w:marBottom w:val="0"/>
                  <w:divBdr>
                    <w:top w:val="none" w:sz="0" w:space="0" w:color="auto"/>
                    <w:left w:val="none" w:sz="0" w:space="0" w:color="auto"/>
                    <w:bottom w:val="none" w:sz="0" w:space="0" w:color="auto"/>
                    <w:right w:val="none" w:sz="0" w:space="0" w:color="auto"/>
                  </w:divBdr>
                  <w:divsChild>
                    <w:div w:id="2106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18282">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25003629">
      <w:bodyDiv w:val="1"/>
      <w:marLeft w:val="0"/>
      <w:marRight w:val="0"/>
      <w:marTop w:val="0"/>
      <w:marBottom w:val="0"/>
      <w:divBdr>
        <w:top w:val="none" w:sz="0" w:space="0" w:color="auto"/>
        <w:left w:val="none" w:sz="0" w:space="0" w:color="auto"/>
        <w:bottom w:val="none" w:sz="0" w:space="0" w:color="auto"/>
        <w:right w:val="none" w:sz="0" w:space="0" w:color="auto"/>
      </w:divBdr>
    </w:div>
    <w:div w:id="1825392936">
      <w:bodyDiv w:val="1"/>
      <w:marLeft w:val="0"/>
      <w:marRight w:val="0"/>
      <w:marTop w:val="0"/>
      <w:marBottom w:val="0"/>
      <w:divBdr>
        <w:top w:val="none" w:sz="0" w:space="0" w:color="auto"/>
        <w:left w:val="none" w:sz="0" w:space="0" w:color="auto"/>
        <w:bottom w:val="none" w:sz="0" w:space="0" w:color="auto"/>
        <w:right w:val="none" w:sz="0" w:space="0" w:color="auto"/>
      </w:divBdr>
    </w:div>
    <w:div w:id="1863593427">
      <w:bodyDiv w:val="1"/>
      <w:marLeft w:val="0"/>
      <w:marRight w:val="0"/>
      <w:marTop w:val="0"/>
      <w:marBottom w:val="0"/>
      <w:divBdr>
        <w:top w:val="none" w:sz="0" w:space="0" w:color="auto"/>
        <w:left w:val="none" w:sz="0" w:space="0" w:color="auto"/>
        <w:bottom w:val="none" w:sz="0" w:space="0" w:color="auto"/>
        <w:right w:val="none" w:sz="0" w:space="0" w:color="auto"/>
      </w:divBdr>
      <w:divsChild>
        <w:div w:id="978804749">
          <w:marLeft w:val="0"/>
          <w:marRight w:val="0"/>
          <w:marTop w:val="0"/>
          <w:marBottom w:val="0"/>
          <w:divBdr>
            <w:top w:val="none" w:sz="0" w:space="0" w:color="auto"/>
            <w:left w:val="none" w:sz="0" w:space="0" w:color="auto"/>
            <w:bottom w:val="none" w:sz="0" w:space="0" w:color="auto"/>
            <w:right w:val="none" w:sz="0" w:space="0" w:color="auto"/>
          </w:divBdr>
          <w:divsChild>
            <w:div w:id="4912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7929">
      <w:bodyDiv w:val="1"/>
      <w:marLeft w:val="0"/>
      <w:marRight w:val="0"/>
      <w:marTop w:val="0"/>
      <w:marBottom w:val="0"/>
      <w:divBdr>
        <w:top w:val="none" w:sz="0" w:space="0" w:color="auto"/>
        <w:left w:val="none" w:sz="0" w:space="0" w:color="auto"/>
        <w:bottom w:val="none" w:sz="0" w:space="0" w:color="auto"/>
        <w:right w:val="none" w:sz="0" w:space="0" w:color="auto"/>
      </w:divBdr>
    </w:div>
    <w:div w:id="1878153719">
      <w:bodyDiv w:val="1"/>
      <w:marLeft w:val="0"/>
      <w:marRight w:val="0"/>
      <w:marTop w:val="0"/>
      <w:marBottom w:val="0"/>
      <w:divBdr>
        <w:top w:val="none" w:sz="0" w:space="0" w:color="auto"/>
        <w:left w:val="none" w:sz="0" w:space="0" w:color="auto"/>
        <w:bottom w:val="none" w:sz="0" w:space="0" w:color="auto"/>
        <w:right w:val="none" w:sz="0" w:space="0" w:color="auto"/>
      </w:divBdr>
      <w:divsChild>
        <w:div w:id="65108546">
          <w:marLeft w:val="0"/>
          <w:marRight w:val="0"/>
          <w:marTop w:val="0"/>
          <w:marBottom w:val="0"/>
          <w:divBdr>
            <w:top w:val="none" w:sz="0" w:space="0" w:color="auto"/>
            <w:left w:val="none" w:sz="0" w:space="0" w:color="auto"/>
            <w:bottom w:val="none" w:sz="0" w:space="0" w:color="auto"/>
            <w:right w:val="none" w:sz="0" w:space="0" w:color="auto"/>
          </w:divBdr>
        </w:div>
        <w:div w:id="1828323351">
          <w:marLeft w:val="0"/>
          <w:marRight w:val="0"/>
          <w:marTop w:val="0"/>
          <w:marBottom w:val="0"/>
          <w:divBdr>
            <w:top w:val="none" w:sz="0" w:space="0" w:color="auto"/>
            <w:left w:val="none" w:sz="0" w:space="0" w:color="auto"/>
            <w:bottom w:val="none" w:sz="0" w:space="0" w:color="auto"/>
            <w:right w:val="none" w:sz="0" w:space="0" w:color="auto"/>
          </w:divBdr>
        </w:div>
      </w:divsChild>
    </w:div>
    <w:div w:id="1900436768">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1976595052">
      <w:bodyDiv w:val="1"/>
      <w:marLeft w:val="0"/>
      <w:marRight w:val="0"/>
      <w:marTop w:val="0"/>
      <w:marBottom w:val="0"/>
      <w:divBdr>
        <w:top w:val="none" w:sz="0" w:space="0" w:color="auto"/>
        <w:left w:val="none" w:sz="0" w:space="0" w:color="auto"/>
        <w:bottom w:val="none" w:sz="0" w:space="0" w:color="auto"/>
        <w:right w:val="none" w:sz="0" w:space="0" w:color="auto"/>
      </w:divBdr>
    </w:div>
    <w:div w:id="2037002675">
      <w:bodyDiv w:val="1"/>
      <w:marLeft w:val="0"/>
      <w:marRight w:val="0"/>
      <w:marTop w:val="0"/>
      <w:marBottom w:val="0"/>
      <w:divBdr>
        <w:top w:val="none" w:sz="0" w:space="0" w:color="auto"/>
        <w:left w:val="none" w:sz="0" w:space="0" w:color="auto"/>
        <w:bottom w:val="none" w:sz="0" w:space="0" w:color="auto"/>
        <w:right w:val="none" w:sz="0" w:space="0" w:color="auto"/>
      </w:divBdr>
      <w:divsChild>
        <w:div w:id="1032725823">
          <w:marLeft w:val="0"/>
          <w:marRight w:val="0"/>
          <w:marTop w:val="0"/>
          <w:marBottom w:val="0"/>
          <w:divBdr>
            <w:top w:val="none" w:sz="0" w:space="0" w:color="auto"/>
            <w:left w:val="none" w:sz="0" w:space="0" w:color="auto"/>
            <w:bottom w:val="none" w:sz="0" w:space="0" w:color="auto"/>
            <w:right w:val="none" w:sz="0" w:space="0" w:color="auto"/>
          </w:divBdr>
          <w:divsChild>
            <w:div w:id="2125690593">
              <w:marLeft w:val="0"/>
              <w:marRight w:val="0"/>
              <w:marTop w:val="0"/>
              <w:marBottom w:val="0"/>
              <w:divBdr>
                <w:top w:val="none" w:sz="0" w:space="0" w:color="auto"/>
                <w:left w:val="none" w:sz="0" w:space="0" w:color="auto"/>
                <w:bottom w:val="none" w:sz="0" w:space="0" w:color="auto"/>
                <w:right w:val="none" w:sz="0" w:space="0" w:color="auto"/>
              </w:divBdr>
              <w:divsChild>
                <w:div w:id="1680544105">
                  <w:marLeft w:val="-225"/>
                  <w:marRight w:val="-225"/>
                  <w:marTop w:val="0"/>
                  <w:marBottom w:val="0"/>
                  <w:divBdr>
                    <w:top w:val="none" w:sz="0" w:space="0" w:color="auto"/>
                    <w:left w:val="none" w:sz="0" w:space="0" w:color="auto"/>
                    <w:bottom w:val="none" w:sz="0" w:space="0" w:color="auto"/>
                    <w:right w:val="none" w:sz="0" w:space="0" w:color="auto"/>
                  </w:divBdr>
                  <w:divsChild>
                    <w:div w:id="12449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48026653">
      <w:bodyDiv w:val="1"/>
      <w:marLeft w:val="0"/>
      <w:marRight w:val="0"/>
      <w:marTop w:val="0"/>
      <w:marBottom w:val="0"/>
      <w:divBdr>
        <w:top w:val="none" w:sz="0" w:space="0" w:color="auto"/>
        <w:left w:val="none" w:sz="0" w:space="0" w:color="auto"/>
        <w:bottom w:val="none" w:sz="0" w:space="0" w:color="auto"/>
        <w:right w:val="none" w:sz="0" w:space="0" w:color="auto"/>
      </w:divBdr>
      <w:divsChild>
        <w:div w:id="345061213">
          <w:marLeft w:val="0"/>
          <w:marRight w:val="0"/>
          <w:marTop w:val="0"/>
          <w:marBottom w:val="0"/>
          <w:divBdr>
            <w:top w:val="none" w:sz="0" w:space="0" w:color="auto"/>
            <w:left w:val="none" w:sz="0" w:space="0" w:color="auto"/>
            <w:bottom w:val="none" w:sz="0" w:space="0" w:color="auto"/>
            <w:right w:val="none" w:sz="0" w:space="0" w:color="auto"/>
          </w:divBdr>
          <w:divsChild>
            <w:div w:id="942034039">
              <w:marLeft w:val="0"/>
              <w:marRight w:val="0"/>
              <w:marTop w:val="0"/>
              <w:marBottom w:val="0"/>
              <w:divBdr>
                <w:top w:val="none" w:sz="0" w:space="0" w:color="auto"/>
                <w:left w:val="none" w:sz="0" w:space="0" w:color="auto"/>
                <w:bottom w:val="none" w:sz="0" w:space="0" w:color="auto"/>
                <w:right w:val="none" w:sz="0" w:space="0" w:color="auto"/>
              </w:divBdr>
              <w:divsChild>
                <w:div w:id="2035956905">
                  <w:blockQuote w:val="1"/>
                  <w:marLeft w:val="0"/>
                  <w:marRight w:val="0"/>
                  <w:marTop w:val="0"/>
                  <w:marBottom w:val="345"/>
                  <w:divBdr>
                    <w:top w:val="none" w:sz="0" w:space="0" w:color="auto"/>
                    <w:left w:val="single" w:sz="36" w:space="17" w:color="EEEEEE"/>
                    <w:bottom w:val="none" w:sz="0" w:space="0" w:color="auto"/>
                    <w:right w:val="none" w:sz="0" w:space="0" w:color="auto"/>
                  </w:divBdr>
                </w:div>
              </w:divsChild>
            </w:div>
          </w:divsChild>
        </w:div>
      </w:divsChild>
    </w:div>
    <w:div w:id="21471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fao.org/fao-who-codexalimentarius/meetings/detail/en/?meeting=CCNFSDU&amp;session=41" TargetMode="External"/><Relationship Id="rId39" Type="http://schemas.openxmlformats.org/officeDocument/2006/relationships/header" Target="header2.xml"/><Relationship Id="rId21" Type="http://schemas.openxmlformats.org/officeDocument/2006/relationships/footer" Target="footer2.xml"/><Relationship Id="rId34" Type="http://schemas.openxmlformats.org/officeDocument/2006/relationships/hyperlink" Target="https://efsa.onlinelibrary.wiley.com/doi/abs/10.2903/j.efsa.2010.1462" TargetMode="External"/><Relationship Id="rId42" Type="http://schemas.openxmlformats.org/officeDocument/2006/relationships/footer" Target="foot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9" Type="http://schemas.openxmlformats.org/officeDocument/2006/relationships/hyperlink" Target="http://www.fao.org/fao-who-codexalimentarius/codex-texts/guidelines/en/" TargetMode="External"/><Relationship Id="rId20" Type="http://schemas.openxmlformats.org/officeDocument/2006/relationships/footer" Target="footer1.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oodstandards.gov.au/science/monitoringnutrients/afcd/Pages/foods-in-release-1.aspx" TargetMode="External"/><Relationship Id="rId32" Type="http://schemas.openxmlformats.org/officeDocument/2006/relationships/hyperlink" Target="https://ec.europa.eu/food/sites/food/files/safety/docs/labelling_legislation_guidance_methods_2012_en.pdf" TargetMode="External"/><Relationship Id="rId37" Type="http://schemas.openxmlformats.org/officeDocument/2006/relationships/hyperlink" Target="https://doi.org/10.1186/1475-2891-13-34"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s://www.foodstandards.gov.au/science/monitoringnutrients/afcd/Pages/foods-in-release-1.aspx" TargetMode="External"/><Relationship Id="rId28" Type="http://schemas.openxmlformats.org/officeDocument/2006/relationships/hyperlink" Target="http://www.fao.org/fao-who-codexalimentarius/sh-proxy/en/?lnk=1&amp;url=https%253A%252F%252Fworkspace.fao.org%252Fsites%252Fcodex%252FMeetings%252FCX-715-41%252FCRD%252Fma_CRD03x.pdf" TargetMode="External"/><Relationship Id="rId36" Type="http://schemas.openxmlformats.org/officeDocument/2006/relationships/hyperlink" Target="https://pubmed.ncbi.nlm.nih.gov/23319118/"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s://eur-lex.europa.eu/legal-content/EN/ALL/?uri=CELEX:32008L0100" TargetMode="External"/><Relationship Id="rId44" Type="http://schemas.openxmlformats.org/officeDocument/2006/relationships/footer" Target="footer5.xml"/><Relationship Id="rId43" Type="http://schemas.openxmlformats.org/officeDocument/2006/relationships/header" Target="header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www.fao.org/fao-who-codexalimentarius/sh-proxy/en/?lnk=1&amp;url=https%253A%252F%252Fworkspace.fao.org%252Fsites%252Fcodex%252FMeetings%252FCX-720-41%252FReport%252FAdoption%252FREP20_NFSDUe.pdf" TargetMode="External"/><Relationship Id="rId30" Type="http://schemas.openxmlformats.org/officeDocument/2006/relationships/hyperlink" Target="http://www.fao.org/fao-who-codexalimentarius/codex-texts/list-standards/it/" TargetMode="External"/><Relationship Id="rId35" Type="http://schemas.openxmlformats.org/officeDocument/2006/relationships/hyperlink" Target="https://www.regulations.gov/contentStreamer?documentId=FDA-2012-N-1210-0875&amp;contentType=pdf" TargetMode="External"/><Relationship Id="rId8"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s://www.foodstandards.gov.au/science/monitoringnutrients/afcd/Pages/default.aspx" TargetMode="External"/><Relationship Id="rId33" Type="http://schemas.openxmlformats.org/officeDocument/2006/relationships/hyperlink" Target="https://ec.europa.eu/jrc/en/health-knowledge-gateway/promotion-prevention/nutrition/fibre" TargetMode="External"/><Relationship Id="rId38" Type="http://schemas.openxmlformats.org/officeDocument/2006/relationships/image" Target="media/image2.png"/><Relationship Id="rId46"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oodstandards.gov.au/code/applications/Pages/A1123IMOasaNovelFood.aspx" TargetMode="External"/><Relationship Id="rId1" Type="http://schemas.openxmlformats.org/officeDocument/2006/relationships/hyperlink" Target="https://www.aoac.org/about-aoac-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WYJEUTFRV6AA-1290953660-363</_dlc_DocId>
    <_dlc_DocIdUrl xmlns="7e329c68-5cbf-4e54-96e5-e53e71021bd2">
      <Url>http://fsanzapps/applications/A1178/_layouts/15/DocIdRedir.aspx?ID=WYJEUTFRV6AA-1290953660-363</Url>
      <Description>WYJEUTFRV6AA-1290953660-363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DAAFC-8D03-45B1-88B5-CD42FB7C92F8}"/>
</file>

<file path=customXml/itemProps2.xml><?xml version="1.0" encoding="utf-8"?>
<ds:datastoreItem xmlns:ds="http://schemas.openxmlformats.org/officeDocument/2006/customXml" ds:itemID="{E3DA966F-9ACF-461D-A78F-F1F94D4CCB8C}"/>
</file>

<file path=customXml/itemProps3.xml><?xml version="1.0" encoding="utf-8"?>
<ds:datastoreItem xmlns:ds="http://schemas.openxmlformats.org/officeDocument/2006/customXml" ds:itemID="{4954F7B1-0A2B-4F80-ADA4-5FA6D430FD35}">
  <ds:schemaRefs>
    <ds:schemaRef ds:uri="http://schemas.microsoft.com/sharepoint/v3/contenttype/forms"/>
  </ds:schemaRefs>
</ds:datastoreItem>
</file>

<file path=customXml/itemProps4.xml><?xml version="1.0" encoding="utf-8"?>
<ds:datastoreItem xmlns:ds="http://schemas.openxmlformats.org/officeDocument/2006/customXml" ds:itemID="{BF6DAAFC-8D03-45B1-88B5-CD42FB7C92F8}">
  <ds:schemaRefs>
    <ds:schemaRef ds:uri="http://purl.org/dc/dcmitype/"/>
    <ds:schemaRef ds:uri="http://purl.org/dc/terms/"/>
    <ds:schemaRef ds:uri="http://schemas.microsoft.com/office/infopath/2007/PartnerControls"/>
    <ds:schemaRef ds:uri="7e329c68-5cbf-4e54-96e5-e53e71021bd2"/>
    <ds:schemaRef ds:uri="http://purl.org/dc/elements/1.1/"/>
    <ds:schemaRef ds:uri="http://schemas.openxmlformats.org/package/2006/metadata/core-properties"/>
    <ds:schemaRef ds:uri="ec50576e-4a27-4780-a1e1-e59563bc70b8"/>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8601B81-049B-402C-A884-9647664C71CA}"/>
</file>

<file path=customXml/itemProps6.xml><?xml version="1.0" encoding="utf-8"?>
<ds:datastoreItem xmlns:ds="http://schemas.openxmlformats.org/officeDocument/2006/customXml" ds:itemID="{4954F7B1-0A2B-4F80-ADA4-5FA6D430FD35}"/>
</file>

<file path=customXml/itemProps7.xml><?xml version="1.0" encoding="utf-8"?>
<ds:datastoreItem xmlns:ds="http://schemas.openxmlformats.org/officeDocument/2006/customXml" ds:itemID="{38B840B0-4926-4BA8-B9D1-587E0F9F731C}"/>
</file>

<file path=docProps/app.xml><?xml version="1.0" encoding="utf-8"?>
<Properties xmlns="http://schemas.openxmlformats.org/officeDocument/2006/extended-properties" xmlns:vt="http://schemas.openxmlformats.org/officeDocument/2006/docPropsVTypes">
  <Template>Normal</Template>
  <TotalTime>0</TotalTime>
  <Pages>29</Pages>
  <Words>12144</Words>
  <Characters>69222</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81204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seymok</dc:creator>
  <cp:keywords/>
  <dc:description/>
  <cp:lastModifiedBy>Tailee Vecchi</cp:lastModifiedBy>
  <cp:revision>2</cp:revision>
  <cp:lastPrinted>2012-03-26T22:36:00Z</cp:lastPrinted>
  <dcterms:created xsi:type="dcterms:W3CDTF">2021-05-20T05:04:00Z</dcterms:created>
  <dcterms:modified xsi:type="dcterms:W3CDTF">2021-05-20T05:04:00Z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62fa716f-dc4b-4635-808f-481385e3be8f</vt:lpwstr>
  </property>
  <property fmtid="{D5CDD505-2E9C-101B-9397-08002B2CF9AE}" pid="8" name="docIndexRef">
    <vt:lpwstr>e901ff3c-b2ed-459c-a522-3e6fbb7518f3</vt:lpwstr>
  </property>
  <property fmtid="{D5CDD505-2E9C-101B-9397-08002B2CF9AE}" pid="9" name="RecordPoint_WorkflowType">
    <vt:lpwstr>ActiveSubmitStub</vt:lpwstr>
  </property>
  <property fmtid="{D5CDD505-2E9C-101B-9397-08002B2CF9AE}" pid="10" name="RecordPoint_ActiveItemUniqueId">
    <vt:lpwstr>{62fa716f-dc4b-4635-808f-481385e3be8f}</vt:lpwstr>
  </property>
  <property fmtid="{D5CDD505-2E9C-101B-9397-08002B2CF9AE}" pid="11" name="RecordPoint_ActiveItemWebId">
    <vt:lpwstr>{0ffb81da-9462-49e5-9682-236708c514f5}</vt:lpwstr>
  </property>
  <property fmtid="{D5CDD505-2E9C-101B-9397-08002B2CF9AE}" pid="12" name="RecordPoint_ActiveItemSiteId">
    <vt:lpwstr>{dd95a578-5c6a-4f11-92f7-f95884d628d6}</vt:lpwstr>
  </property>
  <property fmtid="{D5CDD505-2E9C-101B-9397-08002B2CF9AE}" pid="13" name="RecordPoint_ActiveItemListId">
    <vt:lpwstr>{b21e2922-b161-4b76-84c2-45fd153fce77}</vt:lpwstr>
  </property>
  <property fmtid="{D5CDD505-2E9C-101B-9397-08002B2CF9AE}" pid="14" name="RecordPoint_RecordNumberSubmitted">
    <vt:lpwstr>R0000145810</vt:lpwstr>
  </property>
  <property fmtid="{D5CDD505-2E9C-101B-9397-08002B2CF9AE}" pid="15" name="RecordPoint_SubmissionCompleted">
    <vt:lpwstr>2021-05-14T19:05:08.4629628+10:00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